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91E5E" w14:textId="145CBDCB" w:rsidR="00D245CD" w:rsidRDefault="00D245CD" w:rsidP="000567E1">
      <w:pPr>
        <w:jc w:val="center"/>
        <w:rPr>
          <w:b/>
        </w:rPr>
      </w:pPr>
    </w:p>
    <w:p w14:paraId="7D64855A" w14:textId="77777777" w:rsidR="00D245CD" w:rsidRDefault="00D245CD" w:rsidP="000567E1">
      <w:pPr>
        <w:jc w:val="center"/>
        <w:rPr>
          <w:b/>
        </w:rPr>
      </w:pPr>
    </w:p>
    <w:p w14:paraId="459B1123" w14:textId="77777777" w:rsidR="00D245CD" w:rsidRDefault="00D245CD" w:rsidP="000567E1">
      <w:pPr>
        <w:jc w:val="center"/>
        <w:rPr>
          <w:b/>
        </w:rPr>
      </w:pPr>
    </w:p>
    <w:p w14:paraId="177B93A4" w14:textId="77777777" w:rsidR="00D245CD" w:rsidRDefault="00D245CD" w:rsidP="000567E1">
      <w:pPr>
        <w:jc w:val="center"/>
        <w:rPr>
          <w:b/>
        </w:rPr>
      </w:pPr>
    </w:p>
    <w:p w14:paraId="5642DFD4" w14:textId="77777777" w:rsidR="00D245CD" w:rsidRDefault="00D245CD" w:rsidP="000567E1">
      <w:pPr>
        <w:jc w:val="center"/>
        <w:rPr>
          <w:b/>
        </w:rPr>
      </w:pPr>
    </w:p>
    <w:p w14:paraId="1A3C7C89" w14:textId="77777777" w:rsidR="00D245CD" w:rsidRDefault="00D245CD" w:rsidP="000567E1">
      <w:pPr>
        <w:jc w:val="center"/>
        <w:rPr>
          <w:b/>
        </w:rPr>
      </w:pPr>
    </w:p>
    <w:p w14:paraId="09EB8D95" w14:textId="77777777" w:rsidR="00D245CD" w:rsidRDefault="00D245CD" w:rsidP="000567E1">
      <w:pPr>
        <w:jc w:val="center"/>
        <w:rPr>
          <w:b/>
        </w:rPr>
      </w:pPr>
    </w:p>
    <w:p w14:paraId="3C0A8E38" w14:textId="77777777" w:rsidR="00D245CD" w:rsidRDefault="00D245CD" w:rsidP="000567E1">
      <w:pPr>
        <w:jc w:val="center"/>
        <w:rPr>
          <w:b/>
        </w:rPr>
      </w:pPr>
    </w:p>
    <w:p w14:paraId="68F7DFBB" w14:textId="77777777" w:rsidR="00D245CD" w:rsidRDefault="00D245CD" w:rsidP="000567E1">
      <w:pPr>
        <w:jc w:val="center"/>
        <w:rPr>
          <w:b/>
        </w:rPr>
      </w:pPr>
    </w:p>
    <w:p w14:paraId="121FAF69" w14:textId="77777777" w:rsidR="00D245CD" w:rsidRDefault="00D245CD" w:rsidP="000567E1">
      <w:pPr>
        <w:jc w:val="center"/>
        <w:rPr>
          <w:b/>
        </w:rPr>
      </w:pPr>
    </w:p>
    <w:p w14:paraId="5EADF9F8" w14:textId="77777777" w:rsidR="00D245CD" w:rsidRDefault="00D245CD" w:rsidP="00D245CD">
      <w:pPr>
        <w:jc w:val="center"/>
        <w:rPr>
          <w:b/>
          <w:sz w:val="40"/>
          <w:szCs w:val="40"/>
        </w:rPr>
        <w:sectPr w:rsidR="00D245CD" w:rsidSect="001515CF">
          <w:footerReference w:type="default" r:id="rId12"/>
          <w:headerReference w:type="first" r:id="rId13"/>
          <w:pgSz w:w="11906" w:h="16838"/>
          <w:pgMar w:top="1417" w:right="1417" w:bottom="1417" w:left="1417" w:header="708" w:footer="708" w:gutter="0"/>
          <w:cols w:num="2" w:space="708" w:equalWidth="0">
            <w:col w:w="5812" w:space="708"/>
            <w:col w:w="2552"/>
          </w:cols>
          <w:titlePg/>
          <w:docGrid w:linePitch="360"/>
        </w:sectPr>
      </w:pPr>
    </w:p>
    <w:p w14:paraId="2B5E06FE" w14:textId="22C0EF6D" w:rsidR="00D245CD" w:rsidRDefault="00D245CD" w:rsidP="00D245CD">
      <w:pPr>
        <w:jc w:val="center"/>
        <w:rPr>
          <w:b/>
          <w:sz w:val="40"/>
          <w:szCs w:val="40"/>
        </w:rPr>
      </w:pPr>
      <w:bookmarkStart w:id="0" w:name="_GoBack"/>
      <w:r w:rsidRPr="00D245CD">
        <w:rPr>
          <w:b/>
          <w:sz w:val="40"/>
          <w:szCs w:val="40"/>
        </w:rPr>
        <w:lastRenderedPageBreak/>
        <w:t>Mapování průběhu transformace v organizacích zapojených v projektu Transformace sociálních služeb</w:t>
      </w:r>
    </w:p>
    <w:p w14:paraId="23292887" w14:textId="3085D9ED" w:rsidR="00D245CD" w:rsidRPr="00D245CD" w:rsidRDefault="00D245CD" w:rsidP="000567E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2013-2015</w:t>
      </w:r>
    </w:p>
    <w:bookmarkEnd w:id="0"/>
    <w:p w14:paraId="1F2F8301" w14:textId="77777777" w:rsidR="00D245CD" w:rsidRDefault="00D245CD" w:rsidP="000567E1">
      <w:pPr>
        <w:jc w:val="center"/>
        <w:rPr>
          <w:b/>
        </w:rPr>
      </w:pPr>
    </w:p>
    <w:p w14:paraId="30182D6A" w14:textId="13B9FDA1" w:rsidR="00D245CD" w:rsidRDefault="00D245CD" w:rsidP="000567E1">
      <w:pPr>
        <w:jc w:val="center"/>
        <w:rPr>
          <w:b/>
        </w:rPr>
      </w:pPr>
    </w:p>
    <w:p w14:paraId="43BE14C8" w14:textId="77777777" w:rsidR="00D245CD" w:rsidRDefault="00D245CD" w:rsidP="000567E1">
      <w:pPr>
        <w:jc w:val="center"/>
        <w:rPr>
          <w:b/>
        </w:rPr>
      </w:pPr>
    </w:p>
    <w:p w14:paraId="45C3D6B8" w14:textId="77777777" w:rsidR="00D245CD" w:rsidRDefault="00D245CD" w:rsidP="000567E1">
      <w:pPr>
        <w:jc w:val="center"/>
        <w:rPr>
          <w:b/>
        </w:rPr>
      </w:pPr>
    </w:p>
    <w:p w14:paraId="32E54B8D" w14:textId="77777777" w:rsidR="00D245CD" w:rsidRDefault="00D245CD" w:rsidP="000567E1">
      <w:pPr>
        <w:jc w:val="center"/>
        <w:rPr>
          <w:b/>
        </w:rPr>
      </w:pPr>
    </w:p>
    <w:p w14:paraId="52EBC111" w14:textId="77777777" w:rsidR="00D245CD" w:rsidRDefault="00D245CD" w:rsidP="000567E1">
      <w:pPr>
        <w:jc w:val="center"/>
        <w:rPr>
          <w:b/>
        </w:rPr>
      </w:pPr>
    </w:p>
    <w:p w14:paraId="61191224" w14:textId="77777777" w:rsidR="00D245CD" w:rsidRDefault="00D245CD" w:rsidP="000567E1">
      <w:pPr>
        <w:jc w:val="center"/>
        <w:rPr>
          <w:b/>
        </w:rPr>
      </w:pPr>
    </w:p>
    <w:p w14:paraId="34004544" w14:textId="77777777" w:rsidR="00D245CD" w:rsidRDefault="00D245CD" w:rsidP="000567E1">
      <w:pPr>
        <w:jc w:val="center"/>
        <w:rPr>
          <w:b/>
        </w:rPr>
      </w:pPr>
    </w:p>
    <w:p w14:paraId="7B504E3D" w14:textId="77777777" w:rsidR="00D245CD" w:rsidRDefault="00D245CD" w:rsidP="000567E1">
      <w:pPr>
        <w:jc w:val="center"/>
        <w:rPr>
          <w:b/>
        </w:rPr>
      </w:pPr>
    </w:p>
    <w:p w14:paraId="1AA4248A" w14:textId="77777777" w:rsidR="00D245CD" w:rsidRDefault="00D245CD" w:rsidP="000567E1">
      <w:pPr>
        <w:jc w:val="center"/>
        <w:rPr>
          <w:b/>
        </w:rPr>
      </w:pPr>
    </w:p>
    <w:p w14:paraId="7669AFCF" w14:textId="77777777" w:rsidR="00D245CD" w:rsidRDefault="00D245CD" w:rsidP="000567E1">
      <w:pPr>
        <w:jc w:val="center"/>
        <w:rPr>
          <w:b/>
        </w:rPr>
      </w:pPr>
    </w:p>
    <w:p w14:paraId="10968638" w14:textId="77777777" w:rsidR="00D245CD" w:rsidRDefault="00D245CD" w:rsidP="000567E1">
      <w:pPr>
        <w:jc w:val="center"/>
        <w:rPr>
          <w:b/>
        </w:rPr>
      </w:pPr>
    </w:p>
    <w:p w14:paraId="489E5660" w14:textId="77777777" w:rsidR="00D245CD" w:rsidRDefault="00D245CD" w:rsidP="000567E1">
      <w:pPr>
        <w:jc w:val="center"/>
        <w:rPr>
          <w:b/>
        </w:rPr>
      </w:pPr>
    </w:p>
    <w:p w14:paraId="02F15994" w14:textId="77777777" w:rsidR="00D245CD" w:rsidRDefault="00D245CD" w:rsidP="00D245CD">
      <w:r w:rsidRPr="00187663">
        <w:t>Zpracováno v rámci projektu Ministerstva práce a sociálních věcí Transformace sociálních služeb</w:t>
      </w:r>
    </w:p>
    <w:p w14:paraId="0006246A" w14:textId="1503D0A7" w:rsidR="00D245CD" w:rsidRPr="00187663" w:rsidRDefault="00D245CD" w:rsidP="00D245CD">
      <w:pPr>
        <w:sectPr w:rsidR="00D245CD" w:rsidRPr="00187663" w:rsidSect="00D245CD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t>prosinec 2015</w:t>
      </w:r>
    </w:p>
    <w:p w14:paraId="2164053F" w14:textId="77777777" w:rsidR="008A590A" w:rsidRDefault="008A590A" w:rsidP="000567E1">
      <w:pPr>
        <w:jc w:val="center"/>
        <w:rPr>
          <w:b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05734710"/>
        <w:docPartObj>
          <w:docPartGallery w:val="Table of Contents"/>
          <w:docPartUnique/>
        </w:docPartObj>
      </w:sdtPr>
      <w:sdtEndPr/>
      <w:sdtContent>
        <w:p w14:paraId="152A131D" w14:textId="03E82B83" w:rsidR="008A590A" w:rsidRDefault="008A590A">
          <w:pPr>
            <w:pStyle w:val="Nadpisobsahu"/>
          </w:pPr>
          <w:r>
            <w:t>Obsah</w:t>
          </w:r>
        </w:p>
        <w:p w14:paraId="3634D011" w14:textId="77777777" w:rsidR="004B1BDC" w:rsidRDefault="008A590A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5449321" w:history="1">
            <w:r w:rsidR="004B1BDC" w:rsidRPr="00C4085F">
              <w:rPr>
                <w:rStyle w:val="Hypertextovodkaz"/>
                <w:noProof/>
              </w:rPr>
              <w:t>Přehled zpracovaných statistických údajů z malého sběru dat v rámci projektu Transformace sociálních služeb</w:t>
            </w:r>
            <w:r w:rsidR="004B1BDC">
              <w:rPr>
                <w:noProof/>
                <w:webHidden/>
              </w:rPr>
              <w:tab/>
            </w:r>
            <w:r w:rsidR="004B1BDC">
              <w:rPr>
                <w:noProof/>
                <w:webHidden/>
              </w:rPr>
              <w:fldChar w:fldCharType="begin"/>
            </w:r>
            <w:r w:rsidR="004B1BDC">
              <w:rPr>
                <w:noProof/>
                <w:webHidden/>
              </w:rPr>
              <w:instrText xml:space="preserve"> PAGEREF _Toc445449321 \h </w:instrText>
            </w:r>
            <w:r w:rsidR="004B1BDC">
              <w:rPr>
                <w:noProof/>
                <w:webHidden/>
              </w:rPr>
            </w:r>
            <w:r w:rsidR="004B1BDC">
              <w:rPr>
                <w:noProof/>
                <w:webHidden/>
              </w:rPr>
              <w:fldChar w:fldCharType="separate"/>
            </w:r>
            <w:r w:rsidR="004B1BDC">
              <w:rPr>
                <w:noProof/>
                <w:webHidden/>
              </w:rPr>
              <w:t>1</w:t>
            </w:r>
            <w:r w:rsidR="004B1BDC">
              <w:rPr>
                <w:noProof/>
                <w:webHidden/>
              </w:rPr>
              <w:fldChar w:fldCharType="end"/>
            </w:r>
          </w:hyperlink>
        </w:p>
        <w:p w14:paraId="231EDA4B" w14:textId="77777777" w:rsidR="004B1BDC" w:rsidRDefault="00324F35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5449322" w:history="1">
            <w:r w:rsidR="004B1BDC" w:rsidRPr="00C4085F">
              <w:rPr>
                <w:rStyle w:val="Hypertextovodkaz"/>
                <w:i/>
                <w:noProof/>
              </w:rPr>
              <w:t>Celková kapacita vybraných zařízení sociálních služeb (ústavní/neústavní kapacita)</w:t>
            </w:r>
            <w:r w:rsidR="004B1BDC">
              <w:rPr>
                <w:noProof/>
                <w:webHidden/>
              </w:rPr>
              <w:tab/>
            </w:r>
            <w:r w:rsidR="004B1BDC">
              <w:rPr>
                <w:noProof/>
                <w:webHidden/>
              </w:rPr>
              <w:fldChar w:fldCharType="begin"/>
            </w:r>
            <w:r w:rsidR="004B1BDC">
              <w:rPr>
                <w:noProof/>
                <w:webHidden/>
              </w:rPr>
              <w:instrText xml:space="preserve"> PAGEREF _Toc445449322 \h </w:instrText>
            </w:r>
            <w:r w:rsidR="004B1BDC">
              <w:rPr>
                <w:noProof/>
                <w:webHidden/>
              </w:rPr>
            </w:r>
            <w:r w:rsidR="004B1BDC">
              <w:rPr>
                <w:noProof/>
                <w:webHidden/>
              </w:rPr>
              <w:fldChar w:fldCharType="separate"/>
            </w:r>
            <w:r w:rsidR="004B1BDC">
              <w:rPr>
                <w:noProof/>
                <w:webHidden/>
              </w:rPr>
              <w:t>1</w:t>
            </w:r>
            <w:r w:rsidR="004B1BDC">
              <w:rPr>
                <w:noProof/>
                <w:webHidden/>
              </w:rPr>
              <w:fldChar w:fldCharType="end"/>
            </w:r>
          </w:hyperlink>
        </w:p>
        <w:p w14:paraId="71A938F9" w14:textId="77777777" w:rsidR="004B1BDC" w:rsidRDefault="00324F35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5449323" w:history="1">
            <w:r w:rsidR="004B1BDC" w:rsidRPr="00C4085F">
              <w:rPr>
                <w:rStyle w:val="Hypertextovodkaz"/>
                <w:i/>
                <w:noProof/>
              </w:rPr>
              <w:t>Počet uživatelů, přijetí/odchody uživatelů do/z ústavní služby</w:t>
            </w:r>
            <w:r w:rsidR="004B1BDC">
              <w:rPr>
                <w:noProof/>
                <w:webHidden/>
              </w:rPr>
              <w:tab/>
            </w:r>
            <w:r w:rsidR="004B1BDC">
              <w:rPr>
                <w:noProof/>
                <w:webHidden/>
              </w:rPr>
              <w:fldChar w:fldCharType="begin"/>
            </w:r>
            <w:r w:rsidR="004B1BDC">
              <w:rPr>
                <w:noProof/>
                <w:webHidden/>
              </w:rPr>
              <w:instrText xml:space="preserve"> PAGEREF _Toc445449323 \h </w:instrText>
            </w:r>
            <w:r w:rsidR="004B1BDC">
              <w:rPr>
                <w:noProof/>
                <w:webHidden/>
              </w:rPr>
            </w:r>
            <w:r w:rsidR="004B1BDC">
              <w:rPr>
                <w:noProof/>
                <w:webHidden/>
              </w:rPr>
              <w:fldChar w:fldCharType="separate"/>
            </w:r>
            <w:r w:rsidR="004B1BDC">
              <w:rPr>
                <w:noProof/>
                <w:webHidden/>
              </w:rPr>
              <w:t>3</w:t>
            </w:r>
            <w:r w:rsidR="004B1BDC">
              <w:rPr>
                <w:noProof/>
                <w:webHidden/>
              </w:rPr>
              <w:fldChar w:fldCharType="end"/>
            </w:r>
          </w:hyperlink>
        </w:p>
        <w:p w14:paraId="03FB9E79" w14:textId="77777777" w:rsidR="004B1BDC" w:rsidRDefault="00324F35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5449324" w:history="1">
            <w:r w:rsidR="004B1BDC" w:rsidRPr="00C4085F">
              <w:rPr>
                <w:rStyle w:val="Hypertextovodkaz"/>
                <w:i/>
                <w:noProof/>
              </w:rPr>
              <w:t>Počet uživatelů podle potřebné míry podpory</w:t>
            </w:r>
            <w:r w:rsidR="004B1BDC">
              <w:rPr>
                <w:noProof/>
                <w:webHidden/>
              </w:rPr>
              <w:tab/>
            </w:r>
            <w:r w:rsidR="004B1BDC">
              <w:rPr>
                <w:noProof/>
                <w:webHidden/>
              </w:rPr>
              <w:fldChar w:fldCharType="begin"/>
            </w:r>
            <w:r w:rsidR="004B1BDC">
              <w:rPr>
                <w:noProof/>
                <w:webHidden/>
              </w:rPr>
              <w:instrText xml:space="preserve"> PAGEREF _Toc445449324 \h </w:instrText>
            </w:r>
            <w:r w:rsidR="004B1BDC">
              <w:rPr>
                <w:noProof/>
                <w:webHidden/>
              </w:rPr>
            </w:r>
            <w:r w:rsidR="004B1BDC">
              <w:rPr>
                <w:noProof/>
                <w:webHidden/>
              </w:rPr>
              <w:fldChar w:fldCharType="separate"/>
            </w:r>
            <w:r w:rsidR="004B1BDC">
              <w:rPr>
                <w:noProof/>
                <w:webHidden/>
              </w:rPr>
              <w:t>9</w:t>
            </w:r>
            <w:r w:rsidR="004B1BDC">
              <w:rPr>
                <w:noProof/>
                <w:webHidden/>
              </w:rPr>
              <w:fldChar w:fldCharType="end"/>
            </w:r>
          </w:hyperlink>
        </w:p>
        <w:p w14:paraId="66FB3EBA" w14:textId="77777777" w:rsidR="004B1BDC" w:rsidRDefault="00324F35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5449325" w:history="1">
            <w:r w:rsidR="004B1BDC" w:rsidRPr="00C4085F">
              <w:rPr>
                <w:rStyle w:val="Hypertextovodkaz"/>
                <w:i/>
                <w:noProof/>
              </w:rPr>
              <w:t>Vznik nových komunitních sociálních služeb za dobu realizace projektu (červen 2013 – prosinec 2015)</w:t>
            </w:r>
            <w:r w:rsidR="004B1BDC">
              <w:rPr>
                <w:noProof/>
                <w:webHidden/>
              </w:rPr>
              <w:tab/>
            </w:r>
            <w:r w:rsidR="004B1BDC">
              <w:rPr>
                <w:noProof/>
                <w:webHidden/>
              </w:rPr>
              <w:fldChar w:fldCharType="begin"/>
            </w:r>
            <w:r w:rsidR="004B1BDC">
              <w:rPr>
                <w:noProof/>
                <w:webHidden/>
              </w:rPr>
              <w:instrText xml:space="preserve"> PAGEREF _Toc445449325 \h </w:instrText>
            </w:r>
            <w:r w:rsidR="004B1BDC">
              <w:rPr>
                <w:noProof/>
                <w:webHidden/>
              </w:rPr>
            </w:r>
            <w:r w:rsidR="004B1BDC">
              <w:rPr>
                <w:noProof/>
                <w:webHidden/>
              </w:rPr>
              <w:fldChar w:fldCharType="separate"/>
            </w:r>
            <w:r w:rsidR="004B1BDC">
              <w:rPr>
                <w:noProof/>
                <w:webHidden/>
              </w:rPr>
              <w:t>11</w:t>
            </w:r>
            <w:r w:rsidR="004B1BDC">
              <w:rPr>
                <w:noProof/>
                <w:webHidden/>
              </w:rPr>
              <w:fldChar w:fldCharType="end"/>
            </w:r>
          </w:hyperlink>
        </w:p>
        <w:p w14:paraId="4FA25D4E" w14:textId="77777777" w:rsidR="004B1BDC" w:rsidRDefault="00324F35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5449326" w:history="1">
            <w:r w:rsidR="004B1BDC" w:rsidRPr="00C4085F">
              <w:rPr>
                <w:rStyle w:val="Hypertextovodkaz"/>
                <w:i/>
                <w:noProof/>
              </w:rPr>
              <w:t>Stav komunitních sociálních služeb k 31. 12. 2013, 30. 6., 31. 12. 2014, 30. 6., 31. 12. 2015</w:t>
            </w:r>
            <w:r w:rsidR="004B1BDC">
              <w:rPr>
                <w:noProof/>
                <w:webHidden/>
              </w:rPr>
              <w:tab/>
            </w:r>
            <w:r w:rsidR="004B1BDC">
              <w:rPr>
                <w:noProof/>
                <w:webHidden/>
              </w:rPr>
              <w:fldChar w:fldCharType="begin"/>
            </w:r>
            <w:r w:rsidR="004B1BDC">
              <w:rPr>
                <w:noProof/>
                <w:webHidden/>
              </w:rPr>
              <w:instrText xml:space="preserve"> PAGEREF _Toc445449326 \h </w:instrText>
            </w:r>
            <w:r w:rsidR="004B1BDC">
              <w:rPr>
                <w:noProof/>
                <w:webHidden/>
              </w:rPr>
            </w:r>
            <w:r w:rsidR="004B1BDC">
              <w:rPr>
                <w:noProof/>
                <w:webHidden/>
              </w:rPr>
              <w:fldChar w:fldCharType="separate"/>
            </w:r>
            <w:r w:rsidR="004B1BDC">
              <w:rPr>
                <w:noProof/>
                <w:webHidden/>
              </w:rPr>
              <w:t>13</w:t>
            </w:r>
            <w:r w:rsidR="004B1BDC">
              <w:rPr>
                <w:noProof/>
                <w:webHidden/>
              </w:rPr>
              <w:fldChar w:fldCharType="end"/>
            </w:r>
          </w:hyperlink>
        </w:p>
        <w:p w14:paraId="22E25D38" w14:textId="77777777" w:rsidR="004B1BDC" w:rsidRDefault="00324F35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5449327" w:history="1">
            <w:r w:rsidR="004B1BDC" w:rsidRPr="00C4085F">
              <w:rPr>
                <w:rStyle w:val="Hypertextovodkaz"/>
                <w:noProof/>
              </w:rPr>
              <w:t>Přehled zpracovaných statistických údajů z velkého sběru dat v rámci projektu Transformace sociálních služeb</w:t>
            </w:r>
            <w:r w:rsidR="004B1BDC">
              <w:rPr>
                <w:noProof/>
                <w:webHidden/>
              </w:rPr>
              <w:tab/>
            </w:r>
            <w:r w:rsidR="004B1BDC">
              <w:rPr>
                <w:noProof/>
                <w:webHidden/>
              </w:rPr>
              <w:fldChar w:fldCharType="begin"/>
            </w:r>
            <w:r w:rsidR="004B1BDC">
              <w:rPr>
                <w:noProof/>
                <w:webHidden/>
              </w:rPr>
              <w:instrText xml:space="preserve"> PAGEREF _Toc445449327 \h </w:instrText>
            </w:r>
            <w:r w:rsidR="004B1BDC">
              <w:rPr>
                <w:noProof/>
                <w:webHidden/>
              </w:rPr>
            </w:r>
            <w:r w:rsidR="004B1BDC">
              <w:rPr>
                <w:noProof/>
                <w:webHidden/>
              </w:rPr>
              <w:fldChar w:fldCharType="separate"/>
            </w:r>
            <w:r w:rsidR="004B1BDC">
              <w:rPr>
                <w:noProof/>
                <w:webHidden/>
              </w:rPr>
              <w:t>15</w:t>
            </w:r>
            <w:r w:rsidR="004B1BDC">
              <w:rPr>
                <w:noProof/>
                <w:webHidden/>
              </w:rPr>
              <w:fldChar w:fldCharType="end"/>
            </w:r>
          </w:hyperlink>
        </w:p>
        <w:p w14:paraId="611EE5B0" w14:textId="77777777" w:rsidR="004B1BDC" w:rsidRDefault="00324F35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5449328" w:history="1">
            <w:r w:rsidR="004B1BDC" w:rsidRPr="00C4085F">
              <w:rPr>
                <w:rStyle w:val="Hypertextovodkaz"/>
                <w:i/>
                <w:noProof/>
              </w:rPr>
              <w:t>Sociální služby</w:t>
            </w:r>
            <w:r w:rsidR="004B1BDC">
              <w:rPr>
                <w:noProof/>
                <w:webHidden/>
              </w:rPr>
              <w:tab/>
            </w:r>
            <w:r w:rsidR="004B1BDC">
              <w:rPr>
                <w:noProof/>
                <w:webHidden/>
              </w:rPr>
              <w:fldChar w:fldCharType="begin"/>
            </w:r>
            <w:r w:rsidR="004B1BDC">
              <w:rPr>
                <w:noProof/>
                <w:webHidden/>
              </w:rPr>
              <w:instrText xml:space="preserve"> PAGEREF _Toc445449328 \h </w:instrText>
            </w:r>
            <w:r w:rsidR="004B1BDC">
              <w:rPr>
                <w:noProof/>
                <w:webHidden/>
              </w:rPr>
            </w:r>
            <w:r w:rsidR="004B1BDC">
              <w:rPr>
                <w:noProof/>
                <w:webHidden/>
              </w:rPr>
              <w:fldChar w:fldCharType="separate"/>
            </w:r>
            <w:r w:rsidR="004B1BDC">
              <w:rPr>
                <w:noProof/>
                <w:webHidden/>
              </w:rPr>
              <w:t>15</w:t>
            </w:r>
            <w:r w:rsidR="004B1BDC">
              <w:rPr>
                <w:noProof/>
                <w:webHidden/>
              </w:rPr>
              <w:fldChar w:fldCharType="end"/>
            </w:r>
          </w:hyperlink>
        </w:p>
        <w:p w14:paraId="795E818D" w14:textId="77777777" w:rsidR="004B1BDC" w:rsidRDefault="00324F35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5449329" w:history="1">
            <w:r w:rsidR="004B1BDC" w:rsidRPr="00C4085F">
              <w:rPr>
                <w:rStyle w:val="Hypertextovodkaz"/>
                <w:i/>
                <w:noProof/>
              </w:rPr>
              <w:t>Uživatelé služeb</w:t>
            </w:r>
            <w:r w:rsidR="004B1BDC">
              <w:rPr>
                <w:noProof/>
                <w:webHidden/>
              </w:rPr>
              <w:tab/>
            </w:r>
            <w:r w:rsidR="004B1BDC">
              <w:rPr>
                <w:noProof/>
                <w:webHidden/>
              </w:rPr>
              <w:fldChar w:fldCharType="begin"/>
            </w:r>
            <w:r w:rsidR="004B1BDC">
              <w:rPr>
                <w:noProof/>
                <w:webHidden/>
              </w:rPr>
              <w:instrText xml:space="preserve"> PAGEREF _Toc445449329 \h </w:instrText>
            </w:r>
            <w:r w:rsidR="004B1BDC">
              <w:rPr>
                <w:noProof/>
                <w:webHidden/>
              </w:rPr>
            </w:r>
            <w:r w:rsidR="004B1BDC">
              <w:rPr>
                <w:noProof/>
                <w:webHidden/>
              </w:rPr>
              <w:fldChar w:fldCharType="separate"/>
            </w:r>
            <w:r w:rsidR="004B1BDC">
              <w:rPr>
                <w:noProof/>
                <w:webHidden/>
              </w:rPr>
              <w:t>18</w:t>
            </w:r>
            <w:r w:rsidR="004B1BDC">
              <w:rPr>
                <w:noProof/>
                <w:webHidden/>
              </w:rPr>
              <w:fldChar w:fldCharType="end"/>
            </w:r>
          </w:hyperlink>
        </w:p>
        <w:p w14:paraId="399CFEA7" w14:textId="77777777" w:rsidR="004B1BDC" w:rsidRDefault="00324F35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5449330" w:history="1">
            <w:r w:rsidR="004B1BDC" w:rsidRPr="00C4085F">
              <w:rPr>
                <w:rStyle w:val="Hypertextovodkaz"/>
                <w:i/>
                <w:noProof/>
              </w:rPr>
              <w:t>Pracovníci ve službách</w:t>
            </w:r>
            <w:r w:rsidR="004B1BDC">
              <w:rPr>
                <w:noProof/>
                <w:webHidden/>
              </w:rPr>
              <w:tab/>
            </w:r>
            <w:r w:rsidR="004B1BDC">
              <w:rPr>
                <w:noProof/>
                <w:webHidden/>
              </w:rPr>
              <w:fldChar w:fldCharType="begin"/>
            </w:r>
            <w:r w:rsidR="004B1BDC">
              <w:rPr>
                <w:noProof/>
                <w:webHidden/>
              </w:rPr>
              <w:instrText xml:space="preserve"> PAGEREF _Toc445449330 \h </w:instrText>
            </w:r>
            <w:r w:rsidR="004B1BDC">
              <w:rPr>
                <w:noProof/>
                <w:webHidden/>
              </w:rPr>
            </w:r>
            <w:r w:rsidR="004B1BDC">
              <w:rPr>
                <w:noProof/>
                <w:webHidden/>
              </w:rPr>
              <w:fldChar w:fldCharType="separate"/>
            </w:r>
            <w:r w:rsidR="004B1BDC">
              <w:rPr>
                <w:noProof/>
                <w:webHidden/>
              </w:rPr>
              <w:t>24</w:t>
            </w:r>
            <w:r w:rsidR="004B1BDC">
              <w:rPr>
                <w:noProof/>
                <w:webHidden/>
              </w:rPr>
              <w:fldChar w:fldCharType="end"/>
            </w:r>
          </w:hyperlink>
        </w:p>
        <w:p w14:paraId="0A2BEF1E" w14:textId="48C68BA6" w:rsidR="008A590A" w:rsidRDefault="008A590A">
          <w:r>
            <w:rPr>
              <w:b/>
              <w:bCs/>
            </w:rPr>
            <w:fldChar w:fldCharType="end"/>
          </w:r>
        </w:p>
      </w:sdtContent>
    </w:sdt>
    <w:p w14:paraId="78BC692A" w14:textId="5D51ACEE" w:rsidR="00D245CD" w:rsidRDefault="00D245CD" w:rsidP="000567E1">
      <w:pPr>
        <w:jc w:val="center"/>
        <w:rPr>
          <w:b/>
        </w:rPr>
        <w:sectPr w:rsidR="00D245CD">
          <w:headerReference w:type="default" r:id="rId14"/>
          <w:foot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717D6A0" w14:textId="77777777" w:rsidR="008A590A" w:rsidRDefault="008A590A" w:rsidP="008A590A">
      <w:pPr>
        <w:jc w:val="center"/>
        <w:rPr>
          <w:b/>
        </w:rPr>
        <w:sectPr w:rsidR="008A590A" w:rsidSect="00D245C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6CF6D21" w14:textId="60811889" w:rsidR="00C72D65" w:rsidRDefault="0085693D" w:rsidP="008A590A">
      <w:pPr>
        <w:pStyle w:val="Nadpis1"/>
        <w:rPr>
          <w:rFonts w:asciiTheme="minorHAnsi" w:hAnsiTheme="minorHAnsi"/>
        </w:rPr>
      </w:pPr>
      <w:bookmarkStart w:id="1" w:name="_Toc445449321"/>
      <w:r w:rsidRPr="008A590A">
        <w:rPr>
          <w:rFonts w:asciiTheme="minorHAnsi" w:hAnsiTheme="minorHAnsi"/>
        </w:rPr>
        <w:lastRenderedPageBreak/>
        <w:t>P</w:t>
      </w:r>
      <w:r w:rsidR="000567E1" w:rsidRPr="008A590A">
        <w:rPr>
          <w:rFonts w:asciiTheme="minorHAnsi" w:hAnsiTheme="minorHAnsi"/>
        </w:rPr>
        <w:t xml:space="preserve">řehled zpracovaných statistických údajů </w:t>
      </w:r>
      <w:r w:rsidR="00C72D65" w:rsidRPr="008A590A">
        <w:rPr>
          <w:rFonts w:asciiTheme="minorHAnsi" w:hAnsiTheme="minorHAnsi"/>
        </w:rPr>
        <w:t>z malého sběru dat v rámci projektu Transformace sociálních služeb</w:t>
      </w:r>
      <w:bookmarkEnd w:id="1"/>
      <w:r w:rsidR="00C72D65" w:rsidRPr="008A590A">
        <w:rPr>
          <w:rFonts w:asciiTheme="minorHAnsi" w:hAnsiTheme="minorHAnsi"/>
        </w:rPr>
        <w:t xml:space="preserve"> </w:t>
      </w:r>
    </w:p>
    <w:p w14:paraId="759E99D9" w14:textId="77777777" w:rsidR="008A590A" w:rsidRPr="008A590A" w:rsidRDefault="008A590A" w:rsidP="008A590A"/>
    <w:p w14:paraId="76CF6D22" w14:textId="1CBD1618" w:rsidR="007625C1" w:rsidRDefault="00C72D65" w:rsidP="00C72D65">
      <w:pPr>
        <w:jc w:val="both"/>
      </w:pPr>
      <w:r>
        <w:t xml:space="preserve">Malý sběr dat byl realizován 5x v průběhu projektu ve všech </w:t>
      </w:r>
      <w:r w:rsidR="00627204" w:rsidRPr="00C72D65">
        <w:t xml:space="preserve">40 </w:t>
      </w:r>
      <w:r>
        <w:t xml:space="preserve">zapojených </w:t>
      </w:r>
      <w:r w:rsidR="00627204" w:rsidRPr="00C72D65">
        <w:t>zařízení</w:t>
      </w:r>
      <w:r w:rsidR="009C2164">
        <w:t>ch</w:t>
      </w:r>
      <w:r>
        <w:t xml:space="preserve"> (cca každých 6 měsíců). Byla sledována data týkající se celkové kapacity sociálních služeb, ústavní/neústavní kapacity, počet dospělých uživatelů a dětí, </w:t>
      </w:r>
      <w:r w:rsidR="00813FDB">
        <w:t xml:space="preserve">počet uživatelů podle potřebné míry podpory, </w:t>
      </w:r>
      <w:r>
        <w:t xml:space="preserve">přijetí/odchody dospělých uživatelů a dětí do/z původně ústavních služeb, počet nově vzniklých </w:t>
      </w:r>
      <w:r w:rsidR="00FC69B4">
        <w:t>komunitních služeb a jejich kapacita, celkový počet komunitních služeb a jejich kapacita. Výše uvedené údaje byly zjišťovány dle vybraných druhů sociálních služeb zvlášť pro domovy pro osoby se zdravotním postižením, chráněn</w:t>
      </w:r>
      <w:r w:rsidR="00F72EEC">
        <w:t>á</w:t>
      </w:r>
      <w:r w:rsidR="00FC69B4">
        <w:t xml:space="preserve"> bydlení, domovy se zvláštním režimem, týdenní stacionáře.</w:t>
      </w:r>
      <w:r w:rsidR="00627204" w:rsidRPr="00C72D65">
        <w:t xml:space="preserve"> </w:t>
      </w:r>
      <w:r w:rsidR="001515CF">
        <w:t>Vybraná data navazovala na sběry dat, které probíhaly v rámci předchozího projektu Podpora transformace sociálních služeb. Z  důvodu zamezení duplicity se údaje týkající se odchodů uživatelů z původně ústavních služeb sledovaly od 1. 4. 2013, data potřebné míry podpory od 1. 2. 2013 a data komunitních domácností od 1. 6. 2013.</w:t>
      </w:r>
    </w:p>
    <w:p w14:paraId="76CF6D23" w14:textId="77777777" w:rsidR="00EA71C5" w:rsidRPr="00C72D65" w:rsidRDefault="00EA71C5" w:rsidP="00C72D65">
      <w:pPr>
        <w:jc w:val="both"/>
      </w:pPr>
    </w:p>
    <w:p w14:paraId="76CF6D24" w14:textId="77777777" w:rsidR="00350567" w:rsidRDefault="00350567" w:rsidP="00A53729">
      <w:pPr>
        <w:pStyle w:val="Nadpis2"/>
        <w:keepNext w:val="0"/>
        <w:keepLines w:val="0"/>
        <w:rPr>
          <w:rFonts w:asciiTheme="minorHAnsi" w:hAnsiTheme="minorHAnsi"/>
          <w:i/>
          <w:sz w:val="22"/>
          <w:szCs w:val="22"/>
        </w:rPr>
      </w:pPr>
      <w:bookmarkStart w:id="2" w:name="_Toc445449322"/>
      <w:r w:rsidRPr="008A590A">
        <w:rPr>
          <w:rFonts w:asciiTheme="minorHAnsi" w:hAnsiTheme="minorHAnsi"/>
          <w:i/>
          <w:sz w:val="22"/>
          <w:szCs w:val="22"/>
        </w:rPr>
        <w:t xml:space="preserve">Celková kapacita </w:t>
      </w:r>
      <w:r w:rsidR="0085693D" w:rsidRPr="008A590A">
        <w:rPr>
          <w:rFonts w:asciiTheme="minorHAnsi" w:hAnsiTheme="minorHAnsi"/>
          <w:i/>
          <w:sz w:val="22"/>
          <w:szCs w:val="22"/>
        </w:rPr>
        <w:t>vybraných zařízení sociálních služeb</w:t>
      </w:r>
      <w:r w:rsidR="00E32827" w:rsidRPr="008A590A">
        <w:rPr>
          <w:rFonts w:asciiTheme="minorHAnsi" w:hAnsiTheme="minorHAnsi"/>
          <w:i/>
          <w:sz w:val="22"/>
          <w:szCs w:val="22"/>
        </w:rPr>
        <w:t xml:space="preserve"> </w:t>
      </w:r>
      <w:r w:rsidRPr="008A590A">
        <w:rPr>
          <w:rFonts w:asciiTheme="minorHAnsi" w:hAnsiTheme="minorHAnsi"/>
          <w:i/>
          <w:sz w:val="22"/>
          <w:szCs w:val="22"/>
        </w:rPr>
        <w:t>(ústavní/neústavní kapacita)</w:t>
      </w:r>
      <w:bookmarkEnd w:id="2"/>
    </w:p>
    <w:p w14:paraId="0F8A3FEC" w14:textId="77777777" w:rsidR="008A590A" w:rsidRPr="008A590A" w:rsidRDefault="008A590A" w:rsidP="008A590A"/>
    <w:p w14:paraId="76CF6D25" w14:textId="77777777" w:rsidR="006A53DD" w:rsidRPr="006A53DD" w:rsidRDefault="006A53DD" w:rsidP="006A53DD">
      <w:pPr>
        <w:rPr>
          <w:b/>
        </w:rPr>
      </w:pPr>
      <w:r w:rsidRPr="006A53DD">
        <w:rPr>
          <w:noProof/>
          <w:lang w:eastAsia="cs-CZ"/>
        </w:rPr>
        <w:drawing>
          <wp:inline distT="0" distB="0" distL="0" distR="0" wp14:anchorId="76CF6D61" wp14:editId="76CF6D62">
            <wp:extent cx="5029200" cy="981075"/>
            <wp:effectExtent l="0" t="0" r="0" b="952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F6D26" w14:textId="77777777" w:rsidR="000567E1" w:rsidRDefault="000567E1" w:rsidP="000567E1">
      <w:pPr>
        <w:jc w:val="both"/>
      </w:pPr>
      <w:r>
        <w:t xml:space="preserve">V průběhu projektu se </w:t>
      </w:r>
      <w:r w:rsidRPr="00627204">
        <w:rPr>
          <w:b/>
        </w:rPr>
        <w:t>snížila celková kapacita</w:t>
      </w:r>
      <w:r>
        <w:t xml:space="preserve"> z</w:t>
      </w:r>
      <w:r w:rsidR="006A53DD">
        <w:t> </w:t>
      </w:r>
      <w:r>
        <w:t>3</w:t>
      </w:r>
      <w:r w:rsidR="006A53DD">
        <w:t xml:space="preserve"> </w:t>
      </w:r>
      <w:r>
        <w:t>649 (31. 12. 2013) na 3</w:t>
      </w:r>
      <w:r w:rsidR="006A53DD">
        <w:t xml:space="preserve"> </w:t>
      </w:r>
      <w:r>
        <w:t>1</w:t>
      </w:r>
      <w:r w:rsidR="006A53DD">
        <w:t>5</w:t>
      </w:r>
      <w:r>
        <w:t>4 (</w:t>
      </w:r>
      <w:r w:rsidR="006A53DD">
        <w:t>31. 12. 2015</w:t>
      </w:r>
      <w:r>
        <w:t xml:space="preserve">) lůžek služby domovy pro osoby se zdravotním postižením, tj. </w:t>
      </w:r>
      <w:r w:rsidRPr="00627204">
        <w:rPr>
          <w:b/>
        </w:rPr>
        <w:t xml:space="preserve">o </w:t>
      </w:r>
      <w:r w:rsidR="006A53DD">
        <w:rPr>
          <w:b/>
        </w:rPr>
        <w:t>49</w:t>
      </w:r>
      <w:r w:rsidRPr="00627204">
        <w:rPr>
          <w:b/>
        </w:rPr>
        <w:t>5 lůžek</w:t>
      </w:r>
      <w:r>
        <w:t xml:space="preserve"> (</w:t>
      </w:r>
      <w:r w:rsidR="006A53DD" w:rsidRPr="00B76A15">
        <w:t xml:space="preserve">o </w:t>
      </w:r>
      <w:r w:rsidR="00B76A15" w:rsidRPr="00B76A15">
        <w:t>1</w:t>
      </w:r>
      <w:r w:rsidR="00B76A15">
        <w:t>3,57</w:t>
      </w:r>
      <w:r>
        <w:t xml:space="preserve"> %). </w:t>
      </w:r>
      <w:r w:rsidR="00627204" w:rsidRPr="00350567">
        <w:rPr>
          <w:b/>
        </w:rPr>
        <w:t>Ústavní</w:t>
      </w:r>
      <w:r w:rsidR="00627204">
        <w:t xml:space="preserve"> kapacita </w:t>
      </w:r>
      <w:r w:rsidR="00350567" w:rsidRPr="00350567">
        <w:rPr>
          <w:b/>
        </w:rPr>
        <w:t>poklesla</w:t>
      </w:r>
      <w:r w:rsidR="00350567">
        <w:t xml:space="preserve"> celkem </w:t>
      </w:r>
      <w:r w:rsidR="00350567" w:rsidRPr="00350567">
        <w:rPr>
          <w:b/>
        </w:rPr>
        <w:t xml:space="preserve">o </w:t>
      </w:r>
      <w:r w:rsidR="006A53DD">
        <w:rPr>
          <w:b/>
        </w:rPr>
        <w:t>926</w:t>
      </w:r>
      <w:r w:rsidR="00350567">
        <w:t xml:space="preserve"> na 2</w:t>
      </w:r>
      <w:r w:rsidR="006A53DD">
        <w:t xml:space="preserve"> 582</w:t>
      </w:r>
      <w:r w:rsidR="00350567">
        <w:t xml:space="preserve"> lůžek, </w:t>
      </w:r>
      <w:r w:rsidR="00350567" w:rsidRPr="00B76A15">
        <w:t xml:space="preserve">o </w:t>
      </w:r>
      <w:r w:rsidR="00B76A15" w:rsidRPr="00B76A15">
        <w:t>26,40</w:t>
      </w:r>
      <w:r w:rsidR="00350567">
        <w:t xml:space="preserve"> %. </w:t>
      </w:r>
      <w:r w:rsidRPr="00717447">
        <w:rPr>
          <w:b/>
        </w:rPr>
        <w:t xml:space="preserve">Neústavní </w:t>
      </w:r>
      <w:r w:rsidR="00350567">
        <w:t xml:space="preserve">kapacita se </w:t>
      </w:r>
      <w:r w:rsidR="00350567" w:rsidRPr="00717447">
        <w:rPr>
          <w:b/>
        </w:rPr>
        <w:t xml:space="preserve">zvýšila o </w:t>
      </w:r>
      <w:r w:rsidR="006A53DD">
        <w:rPr>
          <w:b/>
        </w:rPr>
        <w:t>431</w:t>
      </w:r>
      <w:r w:rsidR="00350567">
        <w:t xml:space="preserve"> lůžek, a</w:t>
      </w:r>
      <w:r>
        <w:t xml:space="preserve"> </w:t>
      </w:r>
      <w:r w:rsidR="00627204">
        <w:t xml:space="preserve">zaujímá </w:t>
      </w:r>
      <w:r w:rsidR="00627204" w:rsidRPr="00B76A15">
        <w:t>1</w:t>
      </w:r>
      <w:r w:rsidR="006A53DD" w:rsidRPr="00B76A15">
        <w:t>8</w:t>
      </w:r>
      <w:r w:rsidR="00627204" w:rsidRPr="00B76A15">
        <w:t>,</w:t>
      </w:r>
      <w:r w:rsidR="006A53DD" w:rsidRPr="00B76A15">
        <w:t>14</w:t>
      </w:r>
      <w:r w:rsidR="00627204" w:rsidRPr="00B76A15">
        <w:t xml:space="preserve"> % z</w:t>
      </w:r>
      <w:r w:rsidR="00627204">
        <w:t> celkové kapacity</w:t>
      </w:r>
      <w:r w:rsidR="00350567">
        <w:t xml:space="preserve"> (k 3</w:t>
      </w:r>
      <w:r w:rsidR="006A53DD">
        <w:t>1</w:t>
      </w:r>
      <w:r w:rsidR="00350567">
        <w:t xml:space="preserve">. </w:t>
      </w:r>
      <w:r w:rsidR="006A53DD">
        <w:t>12</w:t>
      </w:r>
      <w:r w:rsidR="00350567">
        <w:t xml:space="preserve">. 2015). Vzhledem k tomu, že v některých zařízeních vznikly nové komunitní služby až </w:t>
      </w:r>
      <w:r w:rsidR="00E32827">
        <w:t>na sklonku roku</w:t>
      </w:r>
      <w:r w:rsidR="00350567">
        <w:t xml:space="preserve"> 2015</w:t>
      </w:r>
      <w:r w:rsidR="00E32827">
        <w:t xml:space="preserve"> a budou registrovány až </w:t>
      </w:r>
      <w:r w:rsidR="00F12F84">
        <w:t>v 1. čtvrtletí</w:t>
      </w:r>
      <w:r w:rsidR="00E32827">
        <w:t xml:space="preserve"> 2016</w:t>
      </w:r>
      <w:r w:rsidR="00350567">
        <w:t xml:space="preserve">, </w:t>
      </w:r>
      <w:r w:rsidR="00E32827">
        <w:t>neústavní kapacita ještě mírně vzroste (</w:t>
      </w:r>
      <w:r w:rsidR="00F12F84">
        <w:t xml:space="preserve">např. Zámek Nová Horka </w:t>
      </w:r>
      <w:r w:rsidR="00F72EEC">
        <w:t>o</w:t>
      </w:r>
      <w:r w:rsidR="00F12F84">
        <w:t xml:space="preserve"> 18 lůžek)</w:t>
      </w:r>
      <w:r w:rsidR="00E32827">
        <w:t>, případně ústavní kapacita mírně klesne (</w:t>
      </w:r>
      <w:r w:rsidR="00F12F84">
        <w:t xml:space="preserve">např. </w:t>
      </w:r>
      <w:r w:rsidR="00E32827">
        <w:t>Domov Pístina bude od 1. 1. 2016 poskytovat pouze službu chráněné bydlení komunitního charakteru</w:t>
      </w:r>
      <w:r w:rsidR="007A2209">
        <w:t>, Zelený dům pohody sníží kapacitu ve prospěch 4 lůžek chráněného bydlení komunitního charakteru</w:t>
      </w:r>
      <w:r w:rsidR="00E32827">
        <w:t>).</w:t>
      </w:r>
      <w:r>
        <w:t xml:space="preserve"> </w:t>
      </w:r>
    </w:p>
    <w:p w14:paraId="76CF6D27" w14:textId="77777777" w:rsidR="006A53DD" w:rsidRDefault="006A53DD" w:rsidP="000567E1">
      <w:pPr>
        <w:jc w:val="both"/>
      </w:pPr>
      <w:r w:rsidRPr="006A53DD">
        <w:rPr>
          <w:noProof/>
          <w:lang w:eastAsia="cs-CZ"/>
        </w:rPr>
        <w:drawing>
          <wp:inline distT="0" distB="0" distL="0" distR="0" wp14:anchorId="76CF6D63" wp14:editId="76CF6D64">
            <wp:extent cx="5076825" cy="981075"/>
            <wp:effectExtent l="0" t="0" r="9525" b="952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F6D28" w14:textId="77777777" w:rsidR="00627204" w:rsidRDefault="00627204" w:rsidP="00CF2B5E">
      <w:pPr>
        <w:jc w:val="both"/>
      </w:pPr>
      <w:r w:rsidRPr="00350567">
        <w:rPr>
          <w:b/>
        </w:rPr>
        <w:lastRenderedPageBreak/>
        <w:t>Celková kapacita</w:t>
      </w:r>
      <w:r>
        <w:t xml:space="preserve"> služby chráněné bydlení se </w:t>
      </w:r>
      <w:r w:rsidR="00FC69B4">
        <w:t xml:space="preserve">v průběhu projektu </w:t>
      </w:r>
      <w:r w:rsidRPr="00350567">
        <w:rPr>
          <w:b/>
        </w:rPr>
        <w:t xml:space="preserve">zvýšila </w:t>
      </w:r>
      <w:r w:rsidR="00350567" w:rsidRPr="00350567">
        <w:rPr>
          <w:b/>
        </w:rPr>
        <w:t xml:space="preserve">o </w:t>
      </w:r>
      <w:r w:rsidR="00E92198">
        <w:rPr>
          <w:b/>
        </w:rPr>
        <w:t>301</w:t>
      </w:r>
      <w:r w:rsidR="00350567">
        <w:t xml:space="preserve"> lůžek</w:t>
      </w:r>
      <w:r w:rsidR="00FC69B4">
        <w:t>. J</w:t>
      </w:r>
      <w:r w:rsidR="00CF2B5E">
        <w:t xml:space="preserve">de </w:t>
      </w:r>
      <w:r w:rsidR="00FC69B4">
        <w:t xml:space="preserve">výhradně </w:t>
      </w:r>
      <w:r w:rsidR="00CF2B5E">
        <w:t>o</w:t>
      </w:r>
      <w:r w:rsidR="00F72EEC">
        <w:t> </w:t>
      </w:r>
      <w:r w:rsidR="00CF2B5E">
        <w:t xml:space="preserve">lůžka </w:t>
      </w:r>
      <w:r w:rsidR="00CF2B5E" w:rsidRPr="00451CE7">
        <w:rPr>
          <w:b/>
        </w:rPr>
        <w:t>neústavní kapacity</w:t>
      </w:r>
      <w:r w:rsidR="00FC69B4">
        <w:t xml:space="preserve">, která zaujímají </w:t>
      </w:r>
      <w:r w:rsidR="00B76A15">
        <w:t xml:space="preserve">k 31. 12. 2015 </w:t>
      </w:r>
      <w:r w:rsidR="00E92198" w:rsidRPr="00B76A15">
        <w:rPr>
          <w:b/>
        </w:rPr>
        <w:t>92</w:t>
      </w:r>
      <w:r w:rsidR="00FC69B4" w:rsidRPr="00B76A15">
        <w:rPr>
          <w:b/>
        </w:rPr>
        <w:t>,</w:t>
      </w:r>
      <w:r w:rsidR="00E92198" w:rsidRPr="00B76A15">
        <w:rPr>
          <w:b/>
        </w:rPr>
        <w:t>42</w:t>
      </w:r>
      <w:r w:rsidR="00FC69B4" w:rsidRPr="00B76A15">
        <w:rPr>
          <w:b/>
        </w:rPr>
        <w:t xml:space="preserve"> %</w:t>
      </w:r>
      <w:r w:rsidR="00FC69B4">
        <w:t xml:space="preserve"> z celkové kapacity</w:t>
      </w:r>
      <w:r w:rsidR="00F72EEC">
        <w:t xml:space="preserve"> této služby</w:t>
      </w:r>
      <w:r w:rsidR="00CF2B5E">
        <w:t xml:space="preserve">. </w:t>
      </w:r>
      <w:r w:rsidR="00CF2B5E" w:rsidRPr="00451CE7">
        <w:rPr>
          <w:b/>
        </w:rPr>
        <w:t>Ústavní</w:t>
      </w:r>
      <w:r w:rsidR="00CF2B5E">
        <w:t xml:space="preserve"> kapacita této služby </w:t>
      </w:r>
      <w:r w:rsidR="00E92198">
        <w:t>poklesla</w:t>
      </w:r>
      <w:r w:rsidR="00CF2B5E">
        <w:t xml:space="preserve"> </w:t>
      </w:r>
      <w:r w:rsidR="00FC69B4">
        <w:t xml:space="preserve">o </w:t>
      </w:r>
      <w:r w:rsidR="00E92198">
        <w:t>23</w:t>
      </w:r>
      <w:r w:rsidR="00FC69B4">
        <w:t xml:space="preserve"> lůžek</w:t>
      </w:r>
      <w:r w:rsidR="00E92198">
        <w:t xml:space="preserve">, tj. </w:t>
      </w:r>
      <w:r w:rsidR="00E92198" w:rsidRPr="00A745A6">
        <w:t>o 28,75</w:t>
      </w:r>
      <w:r w:rsidR="00E92198">
        <w:t xml:space="preserve"> %</w:t>
      </w:r>
      <w:r w:rsidR="00CF2B5E">
        <w:t>.</w:t>
      </w:r>
      <w:r w:rsidR="00E32827" w:rsidRPr="00E32827">
        <w:t xml:space="preserve"> </w:t>
      </w:r>
      <w:r w:rsidR="00E32827">
        <w:t>Vzhledem k tomu, že v některých zařízeních vznikly nové komunitní služby až na sklonku roku 2015 a budou registrovány až k 1.</w:t>
      </w:r>
      <w:r w:rsidR="00F72EEC">
        <w:t> </w:t>
      </w:r>
      <w:r w:rsidR="00E32827">
        <w:t>1.</w:t>
      </w:r>
      <w:r w:rsidR="00F72EEC">
        <w:t> </w:t>
      </w:r>
      <w:r w:rsidR="00E32827">
        <w:t>2016, neústavní kapacita ještě mírně vzroste (</w:t>
      </w:r>
      <w:r w:rsidR="00F12F84">
        <w:t xml:space="preserve">např. </w:t>
      </w:r>
      <w:r w:rsidR="00F72EEC">
        <w:t>Domov Pístina</w:t>
      </w:r>
      <w:r w:rsidR="00E32827">
        <w:t xml:space="preserve"> o </w:t>
      </w:r>
      <w:r w:rsidR="00E32827" w:rsidRPr="00A501F3">
        <w:t>60 lůžek, Barevné domky Hajnice o 5 lůžek</w:t>
      </w:r>
      <w:r w:rsidR="00F12F84">
        <w:t>, Zelený dům pohody o 4 lůžka</w:t>
      </w:r>
      <w:r w:rsidR="00E32827" w:rsidRPr="00A501F3">
        <w:t>).</w:t>
      </w:r>
    </w:p>
    <w:p w14:paraId="76CF6D29" w14:textId="77777777" w:rsidR="00E92198" w:rsidRDefault="00E92198" w:rsidP="00CF2B5E">
      <w:pPr>
        <w:jc w:val="both"/>
      </w:pPr>
      <w:r w:rsidRPr="00E92198">
        <w:rPr>
          <w:noProof/>
          <w:lang w:eastAsia="cs-CZ"/>
        </w:rPr>
        <w:drawing>
          <wp:inline distT="0" distB="0" distL="0" distR="0" wp14:anchorId="76CF6D65" wp14:editId="76CF6D66">
            <wp:extent cx="5029200" cy="981075"/>
            <wp:effectExtent l="0" t="0" r="0" b="952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6A15E" w14:textId="447524C8" w:rsidR="001515CF" w:rsidRDefault="00451CE7" w:rsidP="0015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50567">
        <w:rPr>
          <w:b/>
        </w:rPr>
        <w:t>Celková kapacita</w:t>
      </w:r>
      <w:r>
        <w:t xml:space="preserve"> služby týdenní stacionáře v průběhu projektu mírně poklesla o </w:t>
      </w:r>
      <w:r w:rsidRPr="00350567">
        <w:rPr>
          <w:b/>
        </w:rPr>
        <w:t>2</w:t>
      </w:r>
      <w:r w:rsidR="00E92198">
        <w:rPr>
          <w:b/>
        </w:rPr>
        <w:t>0</w:t>
      </w:r>
      <w:r>
        <w:rPr>
          <w:b/>
        </w:rPr>
        <w:t xml:space="preserve"> </w:t>
      </w:r>
      <w:r>
        <w:t>lůžek. N</w:t>
      </w:r>
      <w:r>
        <w:rPr>
          <w:b/>
        </w:rPr>
        <w:t xml:space="preserve">eústavní kapacita </w:t>
      </w:r>
      <w:r w:rsidRPr="00451CE7">
        <w:t>se zvýšila o</w:t>
      </w:r>
      <w:r>
        <w:rPr>
          <w:b/>
        </w:rPr>
        <w:t xml:space="preserve"> 6 lůžek</w:t>
      </w:r>
      <w:r>
        <w:t xml:space="preserve">. </w:t>
      </w:r>
      <w:r w:rsidR="001515CF">
        <w:t>Nejedná se o vznik nových komunitních domácností, ale o převedení služeb fungujícího denního a týdenního stacionáře pod organizaci zapojenou do projektu.</w:t>
      </w:r>
      <w:r w:rsidR="001515C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76CF6D2A" w14:textId="77777777" w:rsidR="00451CE7" w:rsidRDefault="00451CE7" w:rsidP="000567E1">
      <w:pPr>
        <w:jc w:val="both"/>
      </w:pPr>
      <w:r w:rsidRPr="00451CE7">
        <w:rPr>
          <w:b/>
        </w:rPr>
        <w:t>Ústavní</w:t>
      </w:r>
      <w:r>
        <w:t xml:space="preserve"> kapacita se snížila o 2</w:t>
      </w:r>
      <w:r w:rsidR="00E92198">
        <w:t>6</w:t>
      </w:r>
      <w:r>
        <w:t xml:space="preserve"> lůžek.</w:t>
      </w:r>
    </w:p>
    <w:p w14:paraId="76CF6D2B" w14:textId="77777777" w:rsidR="00E92198" w:rsidRDefault="00E92198" w:rsidP="000567E1">
      <w:pPr>
        <w:jc w:val="both"/>
      </w:pPr>
      <w:r w:rsidRPr="00E92198">
        <w:rPr>
          <w:noProof/>
          <w:lang w:eastAsia="cs-CZ"/>
        </w:rPr>
        <w:drawing>
          <wp:inline distT="0" distB="0" distL="0" distR="0" wp14:anchorId="76CF6D67" wp14:editId="76CF6D68">
            <wp:extent cx="5029200" cy="981075"/>
            <wp:effectExtent l="0" t="0" r="0" b="952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F6D2C" w14:textId="77777777" w:rsidR="00CF2B5E" w:rsidRDefault="00451CE7" w:rsidP="000567E1">
      <w:pPr>
        <w:jc w:val="both"/>
      </w:pPr>
      <w:r w:rsidRPr="00A745A6">
        <w:rPr>
          <w:b/>
        </w:rPr>
        <w:t>Celková kapacita</w:t>
      </w:r>
      <w:r w:rsidRPr="00A745A6">
        <w:t xml:space="preserve"> s</w:t>
      </w:r>
      <w:r w:rsidR="00CF2B5E" w:rsidRPr="00A745A6">
        <w:t xml:space="preserve">lužby domovy se zvláštním režimem se </w:t>
      </w:r>
      <w:r w:rsidRPr="00A745A6">
        <w:rPr>
          <w:b/>
        </w:rPr>
        <w:t>navýšila</w:t>
      </w:r>
      <w:r w:rsidRPr="00A745A6">
        <w:t xml:space="preserve"> o </w:t>
      </w:r>
      <w:r w:rsidR="00E92198" w:rsidRPr="00A745A6">
        <w:rPr>
          <w:b/>
        </w:rPr>
        <w:t>32</w:t>
      </w:r>
      <w:r w:rsidRPr="00A745A6">
        <w:rPr>
          <w:b/>
        </w:rPr>
        <w:t xml:space="preserve"> lůžek</w:t>
      </w:r>
      <w:r w:rsidR="00A745A6" w:rsidRPr="00A745A6">
        <w:rPr>
          <w:b/>
        </w:rPr>
        <w:t xml:space="preserve">. </w:t>
      </w:r>
      <w:r w:rsidRPr="00A745A6">
        <w:rPr>
          <w:b/>
        </w:rPr>
        <w:t xml:space="preserve"> </w:t>
      </w:r>
      <w:r w:rsidR="00A745A6" w:rsidRPr="00A745A6">
        <w:rPr>
          <w:b/>
        </w:rPr>
        <w:t>N</w:t>
      </w:r>
      <w:r w:rsidR="00B0354C" w:rsidRPr="00A745A6">
        <w:rPr>
          <w:b/>
        </w:rPr>
        <w:t>e</w:t>
      </w:r>
      <w:r w:rsidRPr="00A745A6">
        <w:rPr>
          <w:b/>
        </w:rPr>
        <w:t>ústavní</w:t>
      </w:r>
      <w:r w:rsidR="00A745A6" w:rsidRPr="00A745A6">
        <w:t xml:space="preserve"> kapacita</w:t>
      </w:r>
      <w:r w:rsidR="00AC6FA5" w:rsidRPr="00A745A6">
        <w:t xml:space="preserve"> </w:t>
      </w:r>
      <w:r w:rsidR="00A745A6" w:rsidRPr="00A745A6">
        <w:t>vzrostla o 36 lůžek, ústavní klesla o 4 lůžka.</w:t>
      </w:r>
    </w:p>
    <w:p w14:paraId="76CF6D2D" w14:textId="77777777" w:rsidR="00EA71C5" w:rsidRDefault="00EA71C5" w:rsidP="000567E1">
      <w:pPr>
        <w:jc w:val="both"/>
      </w:pPr>
    </w:p>
    <w:p w14:paraId="76CF6D2E" w14:textId="77777777" w:rsidR="00CF2B5E" w:rsidRDefault="00E86527" w:rsidP="00A53729">
      <w:pPr>
        <w:pStyle w:val="Nadpis2"/>
        <w:keepLines w:val="0"/>
        <w:rPr>
          <w:rFonts w:asciiTheme="minorHAnsi" w:hAnsiTheme="minorHAnsi"/>
          <w:i/>
          <w:sz w:val="22"/>
          <w:szCs w:val="22"/>
        </w:rPr>
      </w:pPr>
      <w:bookmarkStart w:id="3" w:name="_Toc445449323"/>
      <w:r w:rsidRPr="008A590A">
        <w:rPr>
          <w:rFonts w:asciiTheme="minorHAnsi" w:hAnsiTheme="minorHAnsi"/>
          <w:i/>
          <w:sz w:val="22"/>
          <w:szCs w:val="22"/>
        </w:rPr>
        <w:lastRenderedPageBreak/>
        <w:t>Počet uživatelů, přijetí/odchody uživatelů do/z ústavní služby</w:t>
      </w:r>
      <w:bookmarkEnd w:id="3"/>
    </w:p>
    <w:p w14:paraId="3B34312F" w14:textId="77777777" w:rsidR="008A590A" w:rsidRPr="008A590A" w:rsidRDefault="008A590A" w:rsidP="001515CF">
      <w:pPr>
        <w:keepNext/>
      </w:pPr>
    </w:p>
    <w:p w14:paraId="76CF6D2F" w14:textId="77777777" w:rsidR="008D459D" w:rsidRPr="008D459D" w:rsidRDefault="00432BF5" w:rsidP="008D459D">
      <w:pPr>
        <w:jc w:val="both"/>
        <w:rPr>
          <w:b/>
        </w:rPr>
      </w:pPr>
      <w:r w:rsidRPr="00432BF5">
        <w:rPr>
          <w:noProof/>
          <w:lang w:eastAsia="cs-CZ"/>
        </w:rPr>
        <w:drawing>
          <wp:inline distT="0" distB="0" distL="0" distR="0" wp14:anchorId="76CF6D69" wp14:editId="76CF6D6A">
            <wp:extent cx="5760720" cy="3882407"/>
            <wp:effectExtent l="0" t="0" r="0" b="381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F6D30" w14:textId="77777777" w:rsidR="00EF66EE" w:rsidRDefault="00E86527" w:rsidP="00E86527">
      <w:pPr>
        <w:jc w:val="both"/>
      </w:pPr>
      <w:r w:rsidRPr="00E86527">
        <w:rPr>
          <w:b/>
        </w:rPr>
        <w:t>Počet uživatelů</w:t>
      </w:r>
      <w:r w:rsidRPr="00E86527">
        <w:t xml:space="preserve"> ve službě domovy pro osoby se zdravotním postižením </w:t>
      </w:r>
      <w:r w:rsidR="0099778A">
        <w:t xml:space="preserve">za dva roky (od prosince 2013 do prosince 2015) </w:t>
      </w:r>
      <w:r w:rsidR="00617D1B" w:rsidRPr="00617D1B">
        <w:rPr>
          <w:b/>
        </w:rPr>
        <w:t>klesl</w:t>
      </w:r>
      <w:r w:rsidR="00617D1B">
        <w:t xml:space="preserve"> z původních 3 509 na </w:t>
      </w:r>
      <w:r w:rsidR="00617D1B" w:rsidRPr="00617D1B">
        <w:rPr>
          <w:b/>
        </w:rPr>
        <w:t>2 955</w:t>
      </w:r>
      <w:r w:rsidR="007655C2" w:rsidRPr="007655C2">
        <w:t xml:space="preserve"> </w:t>
      </w:r>
      <w:r w:rsidR="007655C2">
        <w:t>k 31. 12. 2015</w:t>
      </w:r>
      <w:r w:rsidR="00617D1B">
        <w:t xml:space="preserve">, tj. </w:t>
      </w:r>
      <w:r w:rsidRPr="00E86527">
        <w:rPr>
          <w:b/>
        </w:rPr>
        <w:t xml:space="preserve">o </w:t>
      </w:r>
      <w:r w:rsidR="006762AA">
        <w:rPr>
          <w:b/>
        </w:rPr>
        <w:t>554</w:t>
      </w:r>
      <w:r w:rsidR="00617D1B">
        <w:rPr>
          <w:b/>
        </w:rPr>
        <w:t xml:space="preserve"> </w:t>
      </w:r>
      <w:r w:rsidR="00617D1B" w:rsidRPr="00617D1B">
        <w:t>uživatelů (</w:t>
      </w:r>
      <w:r w:rsidR="00360807">
        <w:t xml:space="preserve">o </w:t>
      </w:r>
      <w:r w:rsidR="00617D1B" w:rsidRPr="00617D1B">
        <w:t>15,79 %)</w:t>
      </w:r>
      <w:r w:rsidRPr="00617D1B">
        <w:t>,</w:t>
      </w:r>
      <w:r>
        <w:t xml:space="preserve"> </w:t>
      </w:r>
      <w:r w:rsidR="007655C2">
        <w:t xml:space="preserve">z toho bylo </w:t>
      </w:r>
      <w:r w:rsidR="00617D1B" w:rsidRPr="007655C2">
        <w:rPr>
          <w:b/>
        </w:rPr>
        <w:t>2</w:t>
      </w:r>
      <w:r w:rsidR="007655C2" w:rsidRPr="007655C2">
        <w:rPr>
          <w:b/>
        </w:rPr>
        <w:t> </w:t>
      </w:r>
      <w:r w:rsidR="00617D1B" w:rsidRPr="007655C2">
        <w:rPr>
          <w:b/>
        </w:rPr>
        <w:t>87</w:t>
      </w:r>
      <w:r w:rsidR="007655C2" w:rsidRPr="007655C2">
        <w:rPr>
          <w:b/>
        </w:rPr>
        <w:t>9 dospělých</w:t>
      </w:r>
      <w:r w:rsidR="007655C2">
        <w:t xml:space="preserve"> a </w:t>
      </w:r>
      <w:r w:rsidR="007655C2" w:rsidRPr="007655C2">
        <w:rPr>
          <w:b/>
        </w:rPr>
        <w:t>76 dětí</w:t>
      </w:r>
      <w:r w:rsidR="007655C2">
        <w:t>.</w:t>
      </w:r>
      <w:r w:rsidR="00617D1B">
        <w:t xml:space="preserve"> </w:t>
      </w:r>
    </w:p>
    <w:p w14:paraId="76CF6D31" w14:textId="77777777" w:rsidR="00617D1B" w:rsidRDefault="00E86527" w:rsidP="00E86527">
      <w:pPr>
        <w:jc w:val="both"/>
      </w:pPr>
      <w:r>
        <w:t xml:space="preserve">V průběhu projektu </w:t>
      </w:r>
      <w:r w:rsidR="000800AB">
        <w:t xml:space="preserve">(od dubna 2013 do </w:t>
      </w:r>
      <w:r w:rsidR="006762AA">
        <w:t>prosince</w:t>
      </w:r>
      <w:r w:rsidR="000800AB">
        <w:t xml:space="preserve"> 2015) </w:t>
      </w:r>
      <w:r>
        <w:t xml:space="preserve">bylo </w:t>
      </w:r>
      <w:r w:rsidRPr="00235131">
        <w:rPr>
          <w:b/>
        </w:rPr>
        <w:t>do</w:t>
      </w:r>
      <w:r>
        <w:t xml:space="preserve"> původní </w:t>
      </w:r>
      <w:r w:rsidRPr="00235131">
        <w:rPr>
          <w:b/>
        </w:rPr>
        <w:t xml:space="preserve">ústavní </w:t>
      </w:r>
      <w:r>
        <w:t xml:space="preserve">služby </w:t>
      </w:r>
      <w:r w:rsidRPr="00235131">
        <w:rPr>
          <w:b/>
        </w:rPr>
        <w:t xml:space="preserve">přijato </w:t>
      </w:r>
      <w:r w:rsidR="00235131" w:rsidRPr="00235131">
        <w:rPr>
          <w:b/>
        </w:rPr>
        <w:t>3</w:t>
      </w:r>
      <w:r w:rsidR="006762AA">
        <w:rPr>
          <w:b/>
        </w:rPr>
        <w:t>95</w:t>
      </w:r>
      <w:r w:rsidR="00235131" w:rsidRPr="00235131">
        <w:rPr>
          <w:b/>
        </w:rPr>
        <w:t xml:space="preserve"> nových dospělých</w:t>
      </w:r>
      <w:r w:rsidR="00235131">
        <w:t xml:space="preserve"> klientů </w:t>
      </w:r>
      <w:r w:rsidR="00EF66EE">
        <w:t xml:space="preserve">(z toho </w:t>
      </w:r>
      <w:r w:rsidR="006762AA">
        <w:rPr>
          <w:b/>
        </w:rPr>
        <w:t>27</w:t>
      </w:r>
      <w:r w:rsidR="00EF66EE">
        <w:t xml:space="preserve"> z </w:t>
      </w:r>
      <w:r w:rsidR="00EF66EE" w:rsidRPr="000800AB">
        <w:rPr>
          <w:b/>
        </w:rPr>
        <w:t>komunitní</w:t>
      </w:r>
      <w:r w:rsidR="00EF66EE">
        <w:t xml:space="preserve"> sociální služby, </w:t>
      </w:r>
      <w:r w:rsidR="006762AA">
        <w:rPr>
          <w:b/>
        </w:rPr>
        <w:t>114</w:t>
      </w:r>
      <w:r w:rsidR="00EF66EE">
        <w:t xml:space="preserve"> z </w:t>
      </w:r>
      <w:r w:rsidR="00EF66EE" w:rsidRPr="000800AB">
        <w:rPr>
          <w:b/>
        </w:rPr>
        <w:t>rodiny</w:t>
      </w:r>
      <w:r w:rsidR="00EF66EE">
        <w:t xml:space="preserve">, </w:t>
      </w:r>
      <w:r w:rsidR="006762AA">
        <w:rPr>
          <w:b/>
        </w:rPr>
        <w:t>33</w:t>
      </w:r>
      <w:r w:rsidR="00EF66EE">
        <w:t xml:space="preserve"> z </w:t>
      </w:r>
      <w:r w:rsidR="00EF66EE" w:rsidRPr="000800AB">
        <w:rPr>
          <w:b/>
        </w:rPr>
        <w:t>vlastního bydlení</w:t>
      </w:r>
      <w:r w:rsidR="00EF66EE">
        <w:t xml:space="preserve">, </w:t>
      </w:r>
      <w:r w:rsidR="006762AA">
        <w:rPr>
          <w:b/>
        </w:rPr>
        <w:t>108</w:t>
      </w:r>
      <w:r w:rsidR="00EF66EE">
        <w:t xml:space="preserve"> z </w:t>
      </w:r>
      <w:r w:rsidR="00EF66EE" w:rsidRPr="000800AB">
        <w:rPr>
          <w:b/>
        </w:rPr>
        <w:t>jiné ústavní</w:t>
      </w:r>
      <w:r w:rsidR="00EF66EE">
        <w:t xml:space="preserve"> sociální služby, </w:t>
      </w:r>
      <w:r w:rsidR="006762AA">
        <w:rPr>
          <w:b/>
        </w:rPr>
        <w:t>70</w:t>
      </w:r>
      <w:r w:rsidR="00EF66EE">
        <w:t xml:space="preserve"> z </w:t>
      </w:r>
      <w:r w:rsidR="00EF66EE" w:rsidRPr="00EF66EE">
        <w:rPr>
          <w:b/>
        </w:rPr>
        <w:t>psychiatrické</w:t>
      </w:r>
      <w:r w:rsidR="00EF66EE">
        <w:t xml:space="preserve"> nemocnice a </w:t>
      </w:r>
      <w:r w:rsidR="006762AA">
        <w:rPr>
          <w:b/>
        </w:rPr>
        <w:t>43</w:t>
      </w:r>
      <w:r w:rsidR="00EF66EE">
        <w:rPr>
          <w:b/>
        </w:rPr>
        <w:t xml:space="preserve"> odjinud</w:t>
      </w:r>
      <w:r w:rsidR="00EF66EE">
        <w:t xml:space="preserve"> – z léčebny dlouhodobě nemocných či jiného oddělení nemocnice, neregistrované sociální služby, ubytovny, z ulice)</w:t>
      </w:r>
      <w:r w:rsidR="00617D1B">
        <w:t xml:space="preserve">. </w:t>
      </w:r>
      <w:r w:rsidR="007655C2">
        <w:t xml:space="preserve">Naopak z ústavní služby </w:t>
      </w:r>
      <w:r w:rsidR="007655C2" w:rsidRPr="00235131">
        <w:rPr>
          <w:b/>
        </w:rPr>
        <w:t xml:space="preserve">odešlo celkem </w:t>
      </w:r>
      <w:r w:rsidR="007655C2">
        <w:rPr>
          <w:b/>
        </w:rPr>
        <w:t>1 1</w:t>
      </w:r>
      <w:r w:rsidR="007655C2" w:rsidRPr="00235131">
        <w:rPr>
          <w:b/>
        </w:rPr>
        <w:t xml:space="preserve">77 dospělých uživatelů </w:t>
      </w:r>
      <w:r w:rsidR="007655C2">
        <w:t xml:space="preserve">(z toho </w:t>
      </w:r>
      <w:r w:rsidR="007655C2">
        <w:rPr>
          <w:b/>
        </w:rPr>
        <w:t>874</w:t>
      </w:r>
      <w:r w:rsidR="007655C2">
        <w:t xml:space="preserve"> do </w:t>
      </w:r>
      <w:r w:rsidR="007655C2" w:rsidRPr="000800AB">
        <w:rPr>
          <w:b/>
        </w:rPr>
        <w:t>komunitní</w:t>
      </w:r>
      <w:r w:rsidR="007655C2">
        <w:t xml:space="preserve"> sociální služby, </w:t>
      </w:r>
      <w:r w:rsidR="007655C2">
        <w:rPr>
          <w:b/>
        </w:rPr>
        <w:t>66</w:t>
      </w:r>
      <w:r w:rsidR="007655C2">
        <w:t xml:space="preserve"> do </w:t>
      </w:r>
      <w:r w:rsidR="007655C2" w:rsidRPr="000800AB">
        <w:rPr>
          <w:b/>
        </w:rPr>
        <w:t>rodiny</w:t>
      </w:r>
      <w:r w:rsidR="007655C2">
        <w:t xml:space="preserve">, </w:t>
      </w:r>
      <w:r w:rsidR="007655C2" w:rsidRPr="000800AB">
        <w:rPr>
          <w:b/>
        </w:rPr>
        <w:t>4</w:t>
      </w:r>
      <w:r w:rsidR="007655C2">
        <w:rPr>
          <w:b/>
        </w:rPr>
        <w:t>4</w:t>
      </w:r>
      <w:r w:rsidR="007655C2">
        <w:t xml:space="preserve"> do </w:t>
      </w:r>
      <w:r w:rsidR="007655C2" w:rsidRPr="000800AB">
        <w:rPr>
          <w:b/>
        </w:rPr>
        <w:t>vlastního bydlení</w:t>
      </w:r>
      <w:r w:rsidR="007655C2">
        <w:t xml:space="preserve">, </w:t>
      </w:r>
      <w:r w:rsidR="007655C2" w:rsidRPr="000800AB">
        <w:rPr>
          <w:b/>
        </w:rPr>
        <w:t>1</w:t>
      </w:r>
      <w:r w:rsidR="007655C2">
        <w:rPr>
          <w:b/>
        </w:rPr>
        <w:t>78</w:t>
      </w:r>
      <w:r w:rsidR="007655C2">
        <w:t xml:space="preserve"> do </w:t>
      </w:r>
      <w:r w:rsidR="007655C2" w:rsidRPr="000800AB">
        <w:rPr>
          <w:b/>
        </w:rPr>
        <w:t>jiné ústavní</w:t>
      </w:r>
      <w:r w:rsidR="007655C2">
        <w:t xml:space="preserve"> sociální služby a </w:t>
      </w:r>
      <w:r w:rsidR="007655C2" w:rsidRPr="000800AB">
        <w:rPr>
          <w:b/>
        </w:rPr>
        <w:t>1</w:t>
      </w:r>
      <w:r w:rsidR="007655C2">
        <w:rPr>
          <w:b/>
        </w:rPr>
        <w:t>5</w:t>
      </w:r>
      <w:r w:rsidR="007655C2" w:rsidRPr="000800AB">
        <w:rPr>
          <w:b/>
        </w:rPr>
        <w:t xml:space="preserve"> jinam</w:t>
      </w:r>
      <w:r w:rsidR="007655C2">
        <w:t xml:space="preserve"> – nejčastěji do psychiatrické nemocnice, léčebny dlouhodobě nemocných a ubytovny</w:t>
      </w:r>
      <w:r w:rsidR="007655C2" w:rsidRPr="00EB4A16">
        <w:t>).</w:t>
      </w:r>
      <w:r w:rsidR="00861C9E" w:rsidRPr="00EB4A16">
        <w:t xml:space="preserve"> Největší podíl na přijetí nových uživatelů do původní ústavní služby mají </w:t>
      </w:r>
      <w:r w:rsidR="00EB4A16" w:rsidRPr="00EB4A16">
        <w:t>zařízení 2 zřizovatelů</w:t>
      </w:r>
      <w:r w:rsidR="00861C9E" w:rsidRPr="00EB4A16">
        <w:t xml:space="preserve">. Dohromady tento jejich podíl činí </w:t>
      </w:r>
      <w:r w:rsidR="00EB4A16" w:rsidRPr="00EB4A16">
        <w:t>59,5</w:t>
      </w:r>
      <w:r w:rsidR="00CB1EBA" w:rsidRPr="00EB4A16">
        <w:t xml:space="preserve"> % všech přijetí</w:t>
      </w:r>
      <w:r w:rsidR="00EB4A16" w:rsidRPr="00EB4A16">
        <w:t>, tj. 235 uživatelů</w:t>
      </w:r>
      <w:r w:rsidR="00CB1EBA" w:rsidRPr="00EB4A16">
        <w:t>.</w:t>
      </w:r>
      <w:r w:rsidR="00CB1EBA">
        <w:t xml:space="preserve"> </w:t>
      </w:r>
    </w:p>
    <w:p w14:paraId="76CF6D32" w14:textId="77777777" w:rsidR="001C25A3" w:rsidRDefault="00D92556" w:rsidP="001C25A3">
      <w:pPr>
        <w:jc w:val="both"/>
      </w:pPr>
      <w:r>
        <w:t>Zatímco v 1. sběru (k 31. 12. 2013) lze pozorovat téměř stejný poměr mezi počtem uživatelů, kteří byli přijati do původně ústavní služby (109) a kteří ji opustili (146), v dalších sběrech stoupá počet uživatelů, kteří původně ústavní službu opustili. Nejmarkantnější rozdíl je ve 4. sběru (k 30. 6. 2015) a</w:t>
      </w:r>
      <w:r w:rsidR="00EB4A16">
        <w:t> </w:t>
      </w:r>
      <w:r>
        <w:t>5. sběru (</w:t>
      </w:r>
      <w:r w:rsidR="00EB4A16">
        <w:t xml:space="preserve">k </w:t>
      </w:r>
      <w:r>
        <w:t>31. 12. 2015) – 342 a 307 uživatelů opouštějící ústavní službu versus 92 a 66 nově přijatých uživatelů, což úzce souvisí mj. se vznikem nových komunitních domácností v tomto období.</w:t>
      </w:r>
      <w:r w:rsidR="001C25A3" w:rsidRPr="001C25A3">
        <w:t xml:space="preserve"> </w:t>
      </w:r>
    </w:p>
    <w:p w14:paraId="76CF6D33" w14:textId="77777777" w:rsidR="001C25A3" w:rsidRDefault="001C25A3" w:rsidP="001C25A3">
      <w:pPr>
        <w:jc w:val="both"/>
      </w:pPr>
      <w:r>
        <w:lastRenderedPageBreak/>
        <w:t xml:space="preserve">Vzhledem k tomu, že v některých zařízeních vznikly nové komunitní služby až na sklonku roku 2015 a budou registrovány až v 1. čtvrtletí 2016, počet uživatelů, kteří opustí původní ústavní službu, ještě mírně vzroste (Domov pro osoby se zdravotním postižením Mařenice). </w:t>
      </w:r>
    </w:p>
    <w:p w14:paraId="76CF6D34" w14:textId="77777777" w:rsidR="007655C2" w:rsidRDefault="007655C2" w:rsidP="00E86527">
      <w:pPr>
        <w:jc w:val="both"/>
      </w:pPr>
      <w:r w:rsidRPr="007655C2">
        <w:rPr>
          <w:noProof/>
          <w:lang w:eastAsia="cs-CZ"/>
        </w:rPr>
        <w:drawing>
          <wp:inline distT="0" distB="0" distL="0" distR="0" wp14:anchorId="76CF6D6B" wp14:editId="76CF6D6C">
            <wp:extent cx="5760720" cy="4398331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9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F6D35" w14:textId="77777777" w:rsidR="00D92556" w:rsidRDefault="00617D1B" w:rsidP="00E86527">
      <w:pPr>
        <w:jc w:val="both"/>
      </w:pPr>
      <w:r w:rsidRPr="00D92556">
        <w:rPr>
          <w:b/>
        </w:rPr>
        <w:t>Počet dětí</w:t>
      </w:r>
      <w:r>
        <w:t xml:space="preserve"> </w:t>
      </w:r>
      <w:r w:rsidR="0099778A">
        <w:t xml:space="preserve">za dva roky (od prosince 2013 do prosince 2015) </w:t>
      </w:r>
      <w:r>
        <w:t xml:space="preserve">poklesl z původních 103 na </w:t>
      </w:r>
      <w:r w:rsidRPr="00D92556">
        <w:rPr>
          <w:b/>
        </w:rPr>
        <w:t>76</w:t>
      </w:r>
      <w:r w:rsidR="007655C2">
        <w:t xml:space="preserve"> k 31. 12. 2015 a činil</w:t>
      </w:r>
      <w:r>
        <w:t xml:space="preserve"> </w:t>
      </w:r>
      <w:r w:rsidRPr="00D92556">
        <w:rPr>
          <w:b/>
        </w:rPr>
        <w:t xml:space="preserve">2,57 % </w:t>
      </w:r>
      <w:r w:rsidR="007655C2" w:rsidRPr="00D92556">
        <w:rPr>
          <w:b/>
        </w:rPr>
        <w:t xml:space="preserve">z </w:t>
      </w:r>
      <w:r w:rsidRPr="00D92556">
        <w:rPr>
          <w:b/>
        </w:rPr>
        <w:t>celkového počtu uživatelů</w:t>
      </w:r>
      <w:r>
        <w:t xml:space="preserve">. K 31. 12. 2015 bylo v této službě </w:t>
      </w:r>
      <w:r w:rsidRPr="00D92556">
        <w:rPr>
          <w:b/>
        </w:rPr>
        <w:t>38</w:t>
      </w:r>
      <w:r w:rsidRPr="00FD6781">
        <w:t xml:space="preserve"> dětí na základě rozhodnutí soudu o nařízení ústavní výchovy </w:t>
      </w:r>
      <w:r>
        <w:t xml:space="preserve">a </w:t>
      </w:r>
      <w:r w:rsidRPr="00D92556">
        <w:rPr>
          <w:b/>
        </w:rPr>
        <w:t>38</w:t>
      </w:r>
      <w:r>
        <w:t xml:space="preserve"> dětí, které</w:t>
      </w:r>
      <w:r w:rsidRPr="00FD6781">
        <w:t xml:space="preserve"> jsou v zařízení na dobrovolný pobyt</w:t>
      </w:r>
      <w:r>
        <w:t>.</w:t>
      </w:r>
      <w:r w:rsidR="007655C2">
        <w:t xml:space="preserve"> </w:t>
      </w:r>
      <w:r w:rsidR="001464B9">
        <w:t xml:space="preserve">K 31. 12. 2015 </w:t>
      </w:r>
      <w:r w:rsidR="00653F62">
        <w:t xml:space="preserve">žily všechny tyto děti </w:t>
      </w:r>
      <w:r w:rsidR="001464B9">
        <w:t xml:space="preserve">ve </w:t>
      </w:r>
      <w:r w:rsidR="00653F62">
        <w:t xml:space="preserve">14 zařízeních sociálních služeb, v </w:t>
      </w:r>
      <w:r w:rsidR="001464B9">
        <w:t xml:space="preserve">8 </w:t>
      </w:r>
      <w:r w:rsidR="00653F62">
        <w:t xml:space="preserve">z nich </w:t>
      </w:r>
      <w:r w:rsidR="001464B9">
        <w:t xml:space="preserve">žilo </w:t>
      </w:r>
      <w:r w:rsidR="00653F62">
        <w:t xml:space="preserve">pouze </w:t>
      </w:r>
      <w:r w:rsidR="001464B9">
        <w:t xml:space="preserve">od 1 do 2 dětí. </w:t>
      </w:r>
      <w:r w:rsidR="00653F62">
        <w:t>Nejvíce dětí bylo v Centru pobytových a</w:t>
      </w:r>
      <w:r w:rsidR="001C25A3">
        <w:t> </w:t>
      </w:r>
      <w:r w:rsidR="00653F62">
        <w:t>terénních služeb Zbůch (20) a v Centru Kociánka (15)</w:t>
      </w:r>
      <w:r w:rsidR="001C25A3">
        <w:t>, což jsou zařízení tradičně zaměřená na práci s dětmi</w:t>
      </w:r>
      <w:r w:rsidR="00653F62">
        <w:t>.</w:t>
      </w:r>
    </w:p>
    <w:p w14:paraId="76CF6D36" w14:textId="77777777" w:rsidR="00E86527" w:rsidRDefault="007655C2" w:rsidP="00E86527">
      <w:pPr>
        <w:jc w:val="both"/>
      </w:pPr>
      <w:r>
        <w:t xml:space="preserve">V průběhu projektu (od dubna 2013 do prosince 2015) bylo </w:t>
      </w:r>
      <w:r w:rsidRPr="00235131">
        <w:rPr>
          <w:b/>
        </w:rPr>
        <w:t>do</w:t>
      </w:r>
      <w:r>
        <w:t xml:space="preserve"> původní </w:t>
      </w:r>
      <w:r w:rsidRPr="00235131">
        <w:rPr>
          <w:b/>
        </w:rPr>
        <w:t xml:space="preserve">ústavní </w:t>
      </w:r>
      <w:r>
        <w:t xml:space="preserve">služby </w:t>
      </w:r>
      <w:r w:rsidRPr="00235131">
        <w:rPr>
          <w:b/>
        </w:rPr>
        <w:t xml:space="preserve">přijato </w:t>
      </w:r>
      <w:r w:rsidR="00235131" w:rsidRPr="007655C2">
        <w:rPr>
          <w:b/>
        </w:rPr>
        <w:t>1</w:t>
      </w:r>
      <w:r w:rsidR="006762AA" w:rsidRPr="007655C2">
        <w:rPr>
          <w:b/>
        </w:rPr>
        <w:t>3</w:t>
      </w:r>
      <w:r w:rsidR="00235131" w:rsidRPr="007655C2">
        <w:rPr>
          <w:b/>
        </w:rPr>
        <w:t xml:space="preserve"> dětí</w:t>
      </w:r>
      <w:r w:rsidR="00EF66EE" w:rsidRPr="007655C2">
        <w:rPr>
          <w:b/>
        </w:rPr>
        <w:t xml:space="preserve"> </w:t>
      </w:r>
      <w:r w:rsidR="00EF66EE" w:rsidRPr="007655C2">
        <w:t xml:space="preserve">(z toho </w:t>
      </w:r>
      <w:r w:rsidRPr="007655C2">
        <w:rPr>
          <w:b/>
        </w:rPr>
        <w:t>7</w:t>
      </w:r>
      <w:r w:rsidR="00EF66EE" w:rsidRPr="007655C2">
        <w:t xml:space="preserve"> </w:t>
      </w:r>
      <w:r w:rsidR="007548BA" w:rsidRPr="007655C2">
        <w:t>z</w:t>
      </w:r>
      <w:r w:rsidR="00EF66EE" w:rsidRPr="007655C2">
        <w:t xml:space="preserve"> vlastní </w:t>
      </w:r>
      <w:r w:rsidR="00EF66EE" w:rsidRPr="007655C2">
        <w:rPr>
          <w:b/>
        </w:rPr>
        <w:t>rodiny</w:t>
      </w:r>
      <w:r w:rsidR="00EF66EE" w:rsidRPr="007655C2">
        <w:t xml:space="preserve">, </w:t>
      </w:r>
      <w:r w:rsidRPr="007655C2">
        <w:rPr>
          <w:b/>
        </w:rPr>
        <w:t>1</w:t>
      </w:r>
      <w:r w:rsidRPr="007655C2">
        <w:t xml:space="preserve"> z </w:t>
      </w:r>
      <w:r w:rsidRPr="007655C2">
        <w:rPr>
          <w:b/>
        </w:rPr>
        <w:t>náhradní</w:t>
      </w:r>
      <w:r w:rsidRPr="007655C2">
        <w:t xml:space="preserve"> rodinné péče, </w:t>
      </w:r>
      <w:r w:rsidRPr="007655C2">
        <w:rPr>
          <w:b/>
        </w:rPr>
        <w:t>2</w:t>
      </w:r>
      <w:r w:rsidR="00EF66EE" w:rsidRPr="007655C2">
        <w:t xml:space="preserve"> </w:t>
      </w:r>
      <w:r w:rsidR="007548BA" w:rsidRPr="007655C2">
        <w:t>z</w:t>
      </w:r>
      <w:r w:rsidR="00EF66EE" w:rsidRPr="007655C2">
        <w:t xml:space="preserve"> </w:t>
      </w:r>
      <w:r w:rsidR="00EF66EE" w:rsidRPr="007655C2">
        <w:rPr>
          <w:b/>
        </w:rPr>
        <w:t>jiné ústavní</w:t>
      </w:r>
      <w:r w:rsidR="00EF66EE" w:rsidRPr="007655C2">
        <w:t xml:space="preserve"> sociální služby</w:t>
      </w:r>
      <w:r w:rsidR="007548BA" w:rsidRPr="007655C2">
        <w:t xml:space="preserve">, </w:t>
      </w:r>
      <w:r w:rsidR="007548BA" w:rsidRPr="007655C2">
        <w:rPr>
          <w:b/>
        </w:rPr>
        <w:t>1</w:t>
      </w:r>
      <w:r w:rsidR="007548BA" w:rsidRPr="007655C2">
        <w:t xml:space="preserve"> z psychiatrické nemocnice</w:t>
      </w:r>
      <w:r w:rsidR="00EF66EE" w:rsidRPr="007655C2">
        <w:t xml:space="preserve"> a </w:t>
      </w:r>
      <w:r w:rsidR="007548BA" w:rsidRPr="007655C2">
        <w:rPr>
          <w:b/>
        </w:rPr>
        <w:t>2</w:t>
      </w:r>
      <w:r w:rsidR="00EF66EE" w:rsidRPr="007655C2">
        <w:t xml:space="preserve"> </w:t>
      </w:r>
      <w:r w:rsidR="007548BA" w:rsidRPr="007655C2">
        <w:t>z</w:t>
      </w:r>
      <w:r w:rsidR="00EF66EE" w:rsidRPr="007655C2">
        <w:t xml:space="preserve"> </w:t>
      </w:r>
      <w:r w:rsidR="00EF66EE" w:rsidRPr="007655C2">
        <w:rPr>
          <w:b/>
        </w:rPr>
        <w:t>dětského domova</w:t>
      </w:r>
      <w:r w:rsidR="00EF66EE" w:rsidRPr="007655C2">
        <w:t>)</w:t>
      </w:r>
      <w:r w:rsidR="00235131" w:rsidRPr="007655C2">
        <w:t>.</w:t>
      </w:r>
      <w:r w:rsidR="00235131">
        <w:t xml:space="preserve"> Naopak z ústavní služby </w:t>
      </w:r>
      <w:r w:rsidR="00235131" w:rsidRPr="00235131">
        <w:rPr>
          <w:b/>
        </w:rPr>
        <w:t xml:space="preserve">odešlo celkem </w:t>
      </w:r>
      <w:r w:rsidR="00D92556">
        <w:rPr>
          <w:b/>
        </w:rPr>
        <w:t>40 dětí</w:t>
      </w:r>
      <w:r w:rsidR="00235131" w:rsidRPr="00235131">
        <w:rPr>
          <w:b/>
        </w:rPr>
        <w:t xml:space="preserve"> </w:t>
      </w:r>
      <w:r w:rsidR="00235131">
        <w:t xml:space="preserve">(z toho </w:t>
      </w:r>
      <w:r w:rsidR="00D92556">
        <w:rPr>
          <w:b/>
        </w:rPr>
        <w:t>5</w:t>
      </w:r>
      <w:r w:rsidR="00235131">
        <w:t xml:space="preserve"> do </w:t>
      </w:r>
      <w:r w:rsidR="00D92556">
        <w:t xml:space="preserve">vlastní </w:t>
      </w:r>
      <w:r w:rsidR="00D92556" w:rsidRPr="00D92556">
        <w:rPr>
          <w:b/>
        </w:rPr>
        <w:t>rodiny</w:t>
      </w:r>
      <w:r w:rsidR="00D92556">
        <w:t xml:space="preserve">, </w:t>
      </w:r>
      <w:r w:rsidR="00D92556" w:rsidRPr="00D92556">
        <w:rPr>
          <w:b/>
        </w:rPr>
        <w:t>2</w:t>
      </w:r>
      <w:r w:rsidR="00D92556">
        <w:t xml:space="preserve"> do náhradní rodinné péče, </w:t>
      </w:r>
      <w:r w:rsidR="00D92556" w:rsidRPr="00D92556">
        <w:rPr>
          <w:b/>
        </w:rPr>
        <w:t>17</w:t>
      </w:r>
      <w:r w:rsidR="00D92556">
        <w:t xml:space="preserve"> do </w:t>
      </w:r>
      <w:r w:rsidR="00235131" w:rsidRPr="000800AB">
        <w:rPr>
          <w:b/>
        </w:rPr>
        <w:t>komunitní</w:t>
      </w:r>
      <w:r w:rsidR="00235131">
        <w:t xml:space="preserve"> sociální služby, </w:t>
      </w:r>
      <w:r w:rsidR="00D92556">
        <w:rPr>
          <w:b/>
        </w:rPr>
        <w:t>11</w:t>
      </w:r>
      <w:r w:rsidR="00235131">
        <w:t xml:space="preserve"> do </w:t>
      </w:r>
      <w:r w:rsidR="00235131" w:rsidRPr="000800AB">
        <w:rPr>
          <w:b/>
        </w:rPr>
        <w:t>jiné ústavní</w:t>
      </w:r>
      <w:r w:rsidR="00235131">
        <w:t xml:space="preserve"> sociální služby a </w:t>
      </w:r>
      <w:r w:rsidR="006762AA">
        <w:rPr>
          <w:b/>
        </w:rPr>
        <w:t>5</w:t>
      </w:r>
      <w:r w:rsidR="00235131" w:rsidRPr="000800AB">
        <w:rPr>
          <w:b/>
        </w:rPr>
        <w:t xml:space="preserve"> </w:t>
      </w:r>
      <w:r w:rsidR="00D92556" w:rsidRPr="00D92556">
        <w:t>do</w:t>
      </w:r>
      <w:r w:rsidR="00D92556">
        <w:rPr>
          <w:b/>
        </w:rPr>
        <w:t xml:space="preserve"> dětského domova</w:t>
      </w:r>
      <w:r w:rsidR="00D92556" w:rsidRPr="00D92556">
        <w:t>).</w:t>
      </w:r>
      <w:r w:rsidR="001464B9">
        <w:t xml:space="preserve"> </w:t>
      </w:r>
    </w:p>
    <w:p w14:paraId="76CF6D37" w14:textId="77777777" w:rsidR="00B76A15" w:rsidRDefault="00B76A15" w:rsidP="00E86527">
      <w:pPr>
        <w:jc w:val="both"/>
      </w:pPr>
      <w:r w:rsidRPr="00B76A15">
        <w:rPr>
          <w:noProof/>
          <w:lang w:eastAsia="cs-CZ"/>
        </w:rPr>
        <w:lastRenderedPageBreak/>
        <w:drawing>
          <wp:inline distT="0" distB="0" distL="0" distR="0" wp14:anchorId="76CF6D6D" wp14:editId="76CF6D6E">
            <wp:extent cx="5760720" cy="404422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F6D38" w14:textId="77777777" w:rsidR="0084418F" w:rsidRDefault="0084418F" w:rsidP="0084418F">
      <w:pPr>
        <w:jc w:val="both"/>
      </w:pPr>
      <w:r w:rsidRPr="00E86527">
        <w:rPr>
          <w:b/>
        </w:rPr>
        <w:t>Počet uživatelů</w:t>
      </w:r>
      <w:r w:rsidRPr="00E86527">
        <w:t xml:space="preserve"> se</w:t>
      </w:r>
      <w:r w:rsidR="0099778A">
        <w:t xml:space="preserve"> za dva roky (od prosince 2013 do prosince 2015) </w:t>
      </w:r>
      <w:r w:rsidRPr="00E86527">
        <w:t xml:space="preserve">ve službě </w:t>
      </w:r>
      <w:r>
        <w:t xml:space="preserve">chráněného bydlení </w:t>
      </w:r>
      <w:r w:rsidRPr="001F61C2">
        <w:rPr>
          <w:b/>
        </w:rPr>
        <w:t>zvýšil</w:t>
      </w:r>
      <w:r w:rsidRPr="00E86527">
        <w:rPr>
          <w:b/>
        </w:rPr>
        <w:t xml:space="preserve"> o </w:t>
      </w:r>
      <w:r w:rsidR="005C0C1D">
        <w:rPr>
          <w:b/>
        </w:rPr>
        <w:t>301</w:t>
      </w:r>
      <w:r>
        <w:t xml:space="preserve">, na </w:t>
      </w:r>
      <w:r w:rsidR="005C0C1D" w:rsidRPr="005C0C1D">
        <w:rPr>
          <w:b/>
        </w:rPr>
        <w:t>752</w:t>
      </w:r>
      <w:r>
        <w:t xml:space="preserve"> k 3</w:t>
      </w:r>
      <w:r w:rsidR="005C0C1D">
        <w:t>1</w:t>
      </w:r>
      <w:r>
        <w:t xml:space="preserve">. </w:t>
      </w:r>
      <w:r w:rsidR="005C0C1D">
        <w:t>12</w:t>
      </w:r>
      <w:r>
        <w:t>. 2015. Ve službě je pouze 1 dítě</w:t>
      </w:r>
      <w:r w:rsidR="00630B48">
        <w:t xml:space="preserve"> na základě </w:t>
      </w:r>
      <w:r w:rsidR="00630B48" w:rsidRPr="00FD6781">
        <w:t>rozhodnutí soudu o nařízení ústavní výchovy</w:t>
      </w:r>
      <w:r>
        <w:t xml:space="preserve">.  </w:t>
      </w:r>
    </w:p>
    <w:p w14:paraId="76CF6D39" w14:textId="77777777" w:rsidR="0084418F" w:rsidRDefault="005C0C1D" w:rsidP="0084418F">
      <w:pPr>
        <w:jc w:val="both"/>
      </w:pPr>
      <w:r>
        <w:t xml:space="preserve">V průběhu projektu (od dubna 2013 do prosince 2015) bylo </w:t>
      </w:r>
      <w:r w:rsidRPr="00235131">
        <w:rPr>
          <w:b/>
        </w:rPr>
        <w:t>do</w:t>
      </w:r>
      <w:r>
        <w:t xml:space="preserve"> původní </w:t>
      </w:r>
      <w:r w:rsidRPr="00235131">
        <w:rPr>
          <w:b/>
        </w:rPr>
        <w:t xml:space="preserve">ústavní </w:t>
      </w:r>
      <w:r>
        <w:t xml:space="preserve">služby </w:t>
      </w:r>
      <w:r w:rsidRPr="00235131">
        <w:rPr>
          <w:b/>
        </w:rPr>
        <w:t xml:space="preserve">přijato </w:t>
      </w:r>
      <w:r>
        <w:rPr>
          <w:b/>
        </w:rPr>
        <w:t>48</w:t>
      </w:r>
      <w:r w:rsidRPr="00235131">
        <w:rPr>
          <w:b/>
        </w:rPr>
        <w:t xml:space="preserve"> nových dospělých</w:t>
      </w:r>
      <w:r>
        <w:t xml:space="preserve"> klientů (z toho </w:t>
      </w:r>
      <w:r>
        <w:rPr>
          <w:b/>
        </w:rPr>
        <w:t>1</w:t>
      </w:r>
      <w:r>
        <w:t xml:space="preserve"> z </w:t>
      </w:r>
      <w:r w:rsidRPr="000800AB">
        <w:rPr>
          <w:b/>
        </w:rPr>
        <w:t>komunitní</w:t>
      </w:r>
      <w:r>
        <w:t xml:space="preserve"> sociální služby, </w:t>
      </w:r>
      <w:r>
        <w:rPr>
          <w:b/>
        </w:rPr>
        <w:t>2</w:t>
      </w:r>
      <w:r>
        <w:t xml:space="preserve"> z </w:t>
      </w:r>
      <w:r w:rsidRPr="000800AB">
        <w:rPr>
          <w:b/>
        </w:rPr>
        <w:t>rodiny</w:t>
      </w:r>
      <w:r>
        <w:t xml:space="preserve">, </w:t>
      </w:r>
      <w:r>
        <w:rPr>
          <w:b/>
        </w:rPr>
        <w:t>1</w:t>
      </w:r>
      <w:r>
        <w:t xml:space="preserve"> z </w:t>
      </w:r>
      <w:r w:rsidRPr="000800AB">
        <w:rPr>
          <w:b/>
        </w:rPr>
        <w:t>vlastního bydlení</w:t>
      </w:r>
      <w:r>
        <w:t xml:space="preserve">, </w:t>
      </w:r>
      <w:r>
        <w:rPr>
          <w:b/>
        </w:rPr>
        <w:t>42</w:t>
      </w:r>
      <w:r>
        <w:t xml:space="preserve"> z </w:t>
      </w:r>
      <w:r w:rsidRPr="000800AB">
        <w:rPr>
          <w:b/>
        </w:rPr>
        <w:t>jiné ústavní</w:t>
      </w:r>
      <w:r>
        <w:t xml:space="preserve"> sociální služby, </w:t>
      </w:r>
      <w:r w:rsidR="0051270D">
        <w:rPr>
          <w:b/>
        </w:rPr>
        <w:t>1</w:t>
      </w:r>
      <w:r>
        <w:t xml:space="preserve"> z </w:t>
      </w:r>
      <w:r w:rsidRPr="00EF66EE">
        <w:rPr>
          <w:b/>
        </w:rPr>
        <w:t>psychiatrické</w:t>
      </w:r>
      <w:r>
        <w:t xml:space="preserve"> nemocnice a </w:t>
      </w:r>
      <w:r w:rsidR="0051270D">
        <w:rPr>
          <w:b/>
        </w:rPr>
        <w:t>1</w:t>
      </w:r>
      <w:r>
        <w:rPr>
          <w:b/>
        </w:rPr>
        <w:t xml:space="preserve"> odjinud</w:t>
      </w:r>
      <w:r>
        <w:t xml:space="preserve"> –</w:t>
      </w:r>
      <w:r w:rsidR="0051270D">
        <w:t xml:space="preserve"> </w:t>
      </w:r>
      <w:r>
        <w:t xml:space="preserve">z ulice). Naopak z ústavní služby </w:t>
      </w:r>
      <w:r w:rsidRPr="00235131">
        <w:rPr>
          <w:b/>
        </w:rPr>
        <w:t xml:space="preserve">odešlo celkem </w:t>
      </w:r>
      <w:r w:rsidR="0051270D">
        <w:rPr>
          <w:b/>
        </w:rPr>
        <w:t>56</w:t>
      </w:r>
      <w:r w:rsidRPr="00235131">
        <w:rPr>
          <w:b/>
        </w:rPr>
        <w:t xml:space="preserve"> dospělých uživatelů </w:t>
      </w:r>
      <w:r>
        <w:t xml:space="preserve">(z toho </w:t>
      </w:r>
      <w:r w:rsidR="0051270D">
        <w:rPr>
          <w:b/>
        </w:rPr>
        <w:t>36</w:t>
      </w:r>
      <w:r>
        <w:t xml:space="preserve"> do </w:t>
      </w:r>
      <w:r w:rsidRPr="000800AB">
        <w:rPr>
          <w:b/>
        </w:rPr>
        <w:t>komunitní</w:t>
      </w:r>
      <w:r>
        <w:t xml:space="preserve"> sociální služby, </w:t>
      </w:r>
      <w:r w:rsidR="0051270D">
        <w:rPr>
          <w:b/>
        </w:rPr>
        <w:t>2</w:t>
      </w:r>
      <w:r>
        <w:t xml:space="preserve"> do </w:t>
      </w:r>
      <w:r w:rsidRPr="000800AB">
        <w:rPr>
          <w:b/>
        </w:rPr>
        <w:t>rodiny</w:t>
      </w:r>
      <w:r>
        <w:t xml:space="preserve">, </w:t>
      </w:r>
      <w:r w:rsidR="0051270D">
        <w:rPr>
          <w:b/>
        </w:rPr>
        <w:t>13</w:t>
      </w:r>
      <w:r>
        <w:t xml:space="preserve"> do </w:t>
      </w:r>
      <w:r w:rsidRPr="000800AB">
        <w:rPr>
          <w:b/>
        </w:rPr>
        <w:t>vlastního bydlení</w:t>
      </w:r>
      <w:r>
        <w:t xml:space="preserve">, </w:t>
      </w:r>
      <w:r w:rsidR="0051270D">
        <w:rPr>
          <w:b/>
        </w:rPr>
        <w:t>3</w:t>
      </w:r>
      <w:r>
        <w:t xml:space="preserve"> do </w:t>
      </w:r>
      <w:r w:rsidRPr="000800AB">
        <w:rPr>
          <w:b/>
        </w:rPr>
        <w:t>jiné ústavní</w:t>
      </w:r>
      <w:r>
        <w:t xml:space="preserve"> sociální služby a </w:t>
      </w:r>
      <w:r w:rsidR="0051270D">
        <w:rPr>
          <w:b/>
        </w:rPr>
        <w:t>2</w:t>
      </w:r>
      <w:r w:rsidRPr="000800AB">
        <w:rPr>
          <w:b/>
        </w:rPr>
        <w:t xml:space="preserve"> jinam</w:t>
      </w:r>
      <w:r>
        <w:t xml:space="preserve"> –</w:t>
      </w:r>
      <w:r w:rsidR="0051270D">
        <w:t xml:space="preserve"> </w:t>
      </w:r>
      <w:r>
        <w:t>do psychiatrické nemocnice</w:t>
      </w:r>
      <w:r w:rsidR="00630B48">
        <w:t xml:space="preserve">) a </w:t>
      </w:r>
      <w:r w:rsidR="0084418F">
        <w:rPr>
          <w:b/>
        </w:rPr>
        <w:t>1</w:t>
      </w:r>
      <w:r w:rsidR="0084418F" w:rsidRPr="00235131">
        <w:rPr>
          <w:b/>
        </w:rPr>
        <w:t xml:space="preserve"> d</w:t>
      </w:r>
      <w:r w:rsidR="0084418F">
        <w:rPr>
          <w:b/>
        </w:rPr>
        <w:t xml:space="preserve">ítě </w:t>
      </w:r>
      <w:r w:rsidR="0084418F" w:rsidRPr="0084418F">
        <w:t>d</w:t>
      </w:r>
      <w:r w:rsidR="0084418F" w:rsidRPr="00235131">
        <w:t xml:space="preserve">o </w:t>
      </w:r>
      <w:r w:rsidR="0084418F" w:rsidRPr="000800AB">
        <w:rPr>
          <w:b/>
        </w:rPr>
        <w:t>dětského domova</w:t>
      </w:r>
      <w:r w:rsidR="0084418F" w:rsidRPr="00235131">
        <w:t>.</w:t>
      </w:r>
    </w:p>
    <w:p w14:paraId="76CF6D3A" w14:textId="77777777" w:rsidR="0084418F" w:rsidRDefault="00630B48" w:rsidP="0084418F">
      <w:pPr>
        <w:jc w:val="both"/>
      </w:pPr>
      <w:r>
        <w:t>Téměř i</w:t>
      </w:r>
      <w:r w:rsidR="00172991">
        <w:t xml:space="preserve">dentický počet uživatelů, kteří odešli z původně ústavní služby </w:t>
      </w:r>
      <w:r>
        <w:t xml:space="preserve">(39) </w:t>
      </w:r>
      <w:r w:rsidR="00172991">
        <w:t xml:space="preserve">a kteří byli současně do původně ústavní služby </w:t>
      </w:r>
      <w:r>
        <w:t xml:space="preserve">(40) </w:t>
      </w:r>
      <w:r w:rsidR="00172991">
        <w:t>přijati</w:t>
      </w:r>
      <w:r>
        <w:t xml:space="preserve"> za období prvních 4 sběrů (do 30. 6. 2015)</w:t>
      </w:r>
      <w:r w:rsidR="00172991">
        <w:t xml:space="preserve">, </w:t>
      </w:r>
      <w:r w:rsidR="004C4F84">
        <w:t>bylo</w:t>
      </w:r>
      <w:r w:rsidR="00172991">
        <w:t xml:space="preserve"> dán</w:t>
      </w:r>
      <w:r w:rsidR="004C4F84">
        <w:t>o</w:t>
      </w:r>
      <w:r w:rsidR="00172991">
        <w:t xml:space="preserve"> především tím, že řada těchto lůžek </w:t>
      </w:r>
      <w:r w:rsidR="004C4F84">
        <w:t>byla</w:t>
      </w:r>
      <w:r w:rsidR="00172991">
        <w:t xml:space="preserve"> v rámci areálu původního objektu zařízení mnohdy využívána jako tzv. tréninkové bydlení. Po určitém čase je snaha zařízení přestěhovat tyto klienty do služby komunitního charakteru. </w:t>
      </w:r>
    </w:p>
    <w:p w14:paraId="76CF6D3B" w14:textId="77777777" w:rsidR="000800AB" w:rsidRDefault="004C4F84" w:rsidP="00E86527">
      <w:pPr>
        <w:jc w:val="both"/>
      </w:pPr>
      <w:r w:rsidRPr="004C4F84">
        <w:rPr>
          <w:noProof/>
          <w:lang w:eastAsia="cs-CZ"/>
        </w:rPr>
        <w:lastRenderedPageBreak/>
        <w:drawing>
          <wp:inline distT="0" distB="0" distL="0" distR="0" wp14:anchorId="76CF6D6F" wp14:editId="76CF6D70">
            <wp:extent cx="5760720" cy="4003493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0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F6D3C" w14:textId="77777777" w:rsidR="00172991" w:rsidRPr="006A2148" w:rsidRDefault="00172991" w:rsidP="00172991">
      <w:pPr>
        <w:jc w:val="both"/>
      </w:pPr>
      <w:r w:rsidRPr="00E86527">
        <w:rPr>
          <w:b/>
        </w:rPr>
        <w:t>Počet uživatelů</w:t>
      </w:r>
      <w:r w:rsidRPr="00E86527">
        <w:t xml:space="preserve"> se ve službě </w:t>
      </w:r>
      <w:r>
        <w:t xml:space="preserve">týdenní stacionáře </w:t>
      </w:r>
      <w:r w:rsidR="0099778A">
        <w:t xml:space="preserve">za dva roky (od prosince 2013 do prosince 2015) </w:t>
      </w:r>
      <w:r>
        <w:t xml:space="preserve">nepatrně </w:t>
      </w:r>
      <w:r w:rsidR="004C4F84">
        <w:rPr>
          <w:b/>
        </w:rPr>
        <w:t>zvýšil</w:t>
      </w:r>
      <w:r w:rsidRPr="00172991">
        <w:rPr>
          <w:b/>
        </w:rPr>
        <w:t xml:space="preserve"> o </w:t>
      </w:r>
      <w:r w:rsidR="004C4F84">
        <w:rPr>
          <w:b/>
        </w:rPr>
        <w:t>2</w:t>
      </w:r>
      <w:r>
        <w:t xml:space="preserve">, na </w:t>
      </w:r>
      <w:r w:rsidR="004C4F84" w:rsidRPr="004C4F84">
        <w:rPr>
          <w:b/>
        </w:rPr>
        <w:t>146</w:t>
      </w:r>
      <w:r>
        <w:t xml:space="preserve"> k 3</w:t>
      </w:r>
      <w:r w:rsidR="004C4F84">
        <w:t>1</w:t>
      </w:r>
      <w:r>
        <w:t xml:space="preserve">. </w:t>
      </w:r>
      <w:r w:rsidR="004C4F84">
        <w:t>12</w:t>
      </w:r>
      <w:r>
        <w:t>. 2015. Službu využív</w:t>
      </w:r>
      <w:r w:rsidR="004C4F84">
        <w:t>alo k tomuto datu</w:t>
      </w:r>
      <w:r>
        <w:t xml:space="preserve"> </w:t>
      </w:r>
      <w:r w:rsidR="004C4F84" w:rsidRPr="004C4F84">
        <w:rPr>
          <w:b/>
        </w:rPr>
        <w:t>27</w:t>
      </w:r>
      <w:r w:rsidRPr="004C4F84">
        <w:rPr>
          <w:b/>
        </w:rPr>
        <w:t xml:space="preserve"> dětí</w:t>
      </w:r>
      <w:r w:rsidR="006A2148">
        <w:rPr>
          <w:b/>
        </w:rPr>
        <w:t xml:space="preserve">, </w:t>
      </w:r>
      <w:r w:rsidR="006A2148" w:rsidRPr="006A2148">
        <w:t>což bylo</w:t>
      </w:r>
      <w:r w:rsidR="006A2148">
        <w:rPr>
          <w:b/>
        </w:rPr>
        <w:t xml:space="preserve"> o 5 více </w:t>
      </w:r>
      <w:r w:rsidR="006A2148" w:rsidRPr="006A2148">
        <w:t>než v roce 2013</w:t>
      </w:r>
      <w:r w:rsidRPr="006A2148">
        <w:t xml:space="preserve">.  </w:t>
      </w:r>
    </w:p>
    <w:p w14:paraId="76CF6D3D" w14:textId="77777777" w:rsidR="00172991" w:rsidRDefault="00223917" w:rsidP="00223917">
      <w:pPr>
        <w:jc w:val="both"/>
      </w:pPr>
      <w:r>
        <w:t xml:space="preserve">V průběhu projektu (od dubna 2013 do prosince 2015) bylo </w:t>
      </w:r>
      <w:r w:rsidRPr="00235131">
        <w:rPr>
          <w:b/>
        </w:rPr>
        <w:t>do</w:t>
      </w:r>
      <w:r>
        <w:t xml:space="preserve"> původní </w:t>
      </w:r>
      <w:r w:rsidRPr="00235131">
        <w:rPr>
          <w:b/>
        </w:rPr>
        <w:t xml:space="preserve">ústavní </w:t>
      </w:r>
      <w:r>
        <w:t xml:space="preserve">služby </w:t>
      </w:r>
      <w:r w:rsidRPr="00235131">
        <w:rPr>
          <w:b/>
        </w:rPr>
        <w:t xml:space="preserve">přijato </w:t>
      </w:r>
      <w:r>
        <w:rPr>
          <w:b/>
        </w:rPr>
        <w:t>18</w:t>
      </w:r>
      <w:r w:rsidRPr="00235131">
        <w:rPr>
          <w:b/>
        </w:rPr>
        <w:t xml:space="preserve"> nových dospělých</w:t>
      </w:r>
      <w:r>
        <w:t xml:space="preserve"> klientů (z toho </w:t>
      </w:r>
      <w:r>
        <w:rPr>
          <w:b/>
        </w:rPr>
        <w:t>1</w:t>
      </w:r>
      <w:r>
        <w:t xml:space="preserve"> z </w:t>
      </w:r>
      <w:r w:rsidRPr="000800AB">
        <w:rPr>
          <w:b/>
        </w:rPr>
        <w:t>komunitní</w:t>
      </w:r>
      <w:r>
        <w:t xml:space="preserve"> sociální služby, </w:t>
      </w:r>
      <w:r>
        <w:rPr>
          <w:b/>
        </w:rPr>
        <w:t>16</w:t>
      </w:r>
      <w:r>
        <w:t xml:space="preserve"> z </w:t>
      </w:r>
      <w:r w:rsidRPr="000800AB">
        <w:rPr>
          <w:b/>
        </w:rPr>
        <w:t>rodiny</w:t>
      </w:r>
      <w:r>
        <w:t xml:space="preserve"> a </w:t>
      </w:r>
      <w:r>
        <w:rPr>
          <w:b/>
        </w:rPr>
        <w:t>1</w:t>
      </w:r>
      <w:r>
        <w:t xml:space="preserve"> z </w:t>
      </w:r>
      <w:r w:rsidRPr="000800AB">
        <w:rPr>
          <w:b/>
        </w:rPr>
        <w:t>jiné ústavní</w:t>
      </w:r>
      <w:r>
        <w:t xml:space="preserve"> sociální služby). Naopak z ústavní služby </w:t>
      </w:r>
      <w:r w:rsidRPr="00235131">
        <w:rPr>
          <w:b/>
        </w:rPr>
        <w:t xml:space="preserve">odešlo celkem </w:t>
      </w:r>
      <w:r>
        <w:rPr>
          <w:b/>
        </w:rPr>
        <w:t>52</w:t>
      </w:r>
      <w:r w:rsidRPr="00235131">
        <w:rPr>
          <w:b/>
        </w:rPr>
        <w:t xml:space="preserve"> dospělých uživatelů </w:t>
      </w:r>
      <w:r>
        <w:t xml:space="preserve">(z toho </w:t>
      </w:r>
      <w:r>
        <w:rPr>
          <w:b/>
        </w:rPr>
        <w:t>4</w:t>
      </w:r>
      <w:r>
        <w:t xml:space="preserve"> do </w:t>
      </w:r>
      <w:r w:rsidRPr="000800AB">
        <w:rPr>
          <w:b/>
        </w:rPr>
        <w:t>komunitní</w:t>
      </w:r>
      <w:r>
        <w:t xml:space="preserve"> sociální služby, </w:t>
      </w:r>
      <w:r>
        <w:rPr>
          <w:b/>
        </w:rPr>
        <w:t>31</w:t>
      </w:r>
      <w:r>
        <w:t xml:space="preserve"> do </w:t>
      </w:r>
      <w:r w:rsidRPr="000800AB">
        <w:rPr>
          <w:b/>
        </w:rPr>
        <w:t>rodiny</w:t>
      </w:r>
      <w:r>
        <w:t xml:space="preserve">, </w:t>
      </w:r>
      <w:r>
        <w:rPr>
          <w:b/>
        </w:rPr>
        <w:t>2</w:t>
      </w:r>
      <w:r>
        <w:t xml:space="preserve"> do </w:t>
      </w:r>
      <w:r w:rsidRPr="000800AB">
        <w:rPr>
          <w:b/>
        </w:rPr>
        <w:t>vlastního bydlení</w:t>
      </w:r>
      <w:r>
        <w:t xml:space="preserve"> </w:t>
      </w:r>
      <w:r w:rsidRPr="00223917">
        <w:t>a</w:t>
      </w:r>
      <w:r>
        <w:t xml:space="preserve"> </w:t>
      </w:r>
      <w:r>
        <w:rPr>
          <w:b/>
        </w:rPr>
        <w:t>15</w:t>
      </w:r>
      <w:r>
        <w:t xml:space="preserve"> do </w:t>
      </w:r>
      <w:r w:rsidRPr="000800AB">
        <w:rPr>
          <w:b/>
        </w:rPr>
        <w:t>jiné ústavní</w:t>
      </w:r>
      <w:r>
        <w:t xml:space="preserve"> sociální služby</w:t>
      </w:r>
      <w:r w:rsidR="006A2148">
        <w:t>)</w:t>
      </w:r>
      <w:r>
        <w:t xml:space="preserve">. </w:t>
      </w:r>
    </w:p>
    <w:p w14:paraId="76CF6D3E" w14:textId="77777777" w:rsidR="00223917" w:rsidRDefault="00237D1D" w:rsidP="00223917">
      <w:pPr>
        <w:jc w:val="both"/>
      </w:pPr>
      <w:r w:rsidRPr="00237D1D">
        <w:rPr>
          <w:noProof/>
          <w:lang w:eastAsia="cs-CZ"/>
        </w:rPr>
        <w:lastRenderedPageBreak/>
        <w:drawing>
          <wp:inline distT="0" distB="0" distL="0" distR="0" wp14:anchorId="76CF6D71" wp14:editId="76CF6D72">
            <wp:extent cx="5760720" cy="4335045"/>
            <wp:effectExtent l="0" t="0" r="0" b="889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3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F6D3F" w14:textId="77777777" w:rsidR="00223917" w:rsidRDefault="00223917" w:rsidP="00223917">
      <w:pPr>
        <w:jc w:val="both"/>
      </w:pPr>
      <w:r w:rsidRPr="00D92556">
        <w:rPr>
          <w:b/>
        </w:rPr>
        <w:t>Počet dětí</w:t>
      </w:r>
      <w:r>
        <w:t xml:space="preserve"> </w:t>
      </w:r>
      <w:r w:rsidR="00237D1D">
        <w:t xml:space="preserve">se </w:t>
      </w:r>
      <w:r w:rsidR="0099778A">
        <w:t xml:space="preserve">za dva roky (od prosince 2013 do prosince 2015) </w:t>
      </w:r>
      <w:r w:rsidR="00237D1D">
        <w:t xml:space="preserve">zvýšil </w:t>
      </w:r>
      <w:r>
        <w:t xml:space="preserve">z původních </w:t>
      </w:r>
      <w:r w:rsidR="00237D1D">
        <w:t>22</w:t>
      </w:r>
      <w:r>
        <w:t xml:space="preserve"> na </w:t>
      </w:r>
      <w:r w:rsidR="00237D1D">
        <w:rPr>
          <w:b/>
        </w:rPr>
        <w:t>27</w:t>
      </w:r>
      <w:r>
        <w:t xml:space="preserve"> k 31. 12. 2015 a činil </w:t>
      </w:r>
      <w:r w:rsidR="00237D1D">
        <w:rPr>
          <w:b/>
        </w:rPr>
        <w:t>18</w:t>
      </w:r>
      <w:r w:rsidRPr="00D92556">
        <w:rPr>
          <w:b/>
        </w:rPr>
        <w:t>,</w:t>
      </w:r>
      <w:r w:rsidR="00237D1D">
        <w:rPr>
          <w:b/>
        </w:rPr>
        <w:t>49</w:t>
      </w:r>
      <w:r w:rsidRPr="00D92556">
        <w:rPr>
          <w:b/>
        </w:rPr>
        <w:t xml:space="preserve"> % z celkového počtu uživatelů</w:t>
      </w:r>
      <w:r>
        <w:t xml:space="preserve">.  </w:t>
      </w:r>
    </w:p>
    <w:p w14:paraId="76CF6D40" w14:textId="77777777" w:rsidR="00223917" w:rsidRDefault="00223917" w:rsidP="00223917">
      <w:pPr>
        <w:jc w:val="both"/>
      </w:pPr>
      <w:r>
        <w:t xml:space="preserve">V průběhu projektu (od dubna 2013 do prosince 2015) bylo </w:t>
      </w:r>
      <w:r w:rsidRPr="00235131">
        <w:rPr>
          <w:b/>
        </w:rPr>
        <w:t>do</w:t>
      </w:r>
      <w:r>
        <w:t xml:space="preserve"> původní </w:t>
      </w:r>
      <w:r w:rsidRPr="00235131">
        <w:rPr>
          <w:b/>
        </w:rPr>
        <w:t xml:space="preserve">ústavní </w:t>
      </w:r>
      <w:r>
        <w:t xml:space="preserve">služby </w:t>
      </w:r>
      <w:r w:rsidRPr="00235131">
        <w:rPr>
          <w:b/>
        </w:rPr>
        <w:t xml:space="preserve">přijato </w:t>
      </w:r>
      <w:r w:rsidRPr="007655C2">
        <w:rPr>
          <w:b/>
        </w:rPr>
        <w:t>1</w:t>
      </w:r>
      <w:r>
        <w:rPr>
          <w:b/>
        </w:rPr>
        <w:t>8</w:t>
      </w:r>
      <w:r w:rsidRPr="007655C2">
        <w:rPr>
          <w:b/>
        </w:rPr>
        <w:t xml:space="preserve"> dětí</w:t>
      </w:r>
      <w:r>
        <w:t xml:space="preserve"> (všechny </w:t>
      </w:r>
      <w:r w:rsidRPr="007655C2">
        <w:t xml:space="preserve">z vlastní </w:t>
      </w:r>
      <w:r w:rsidRPr="007655C2">
        <w:rPr>
          <w:b/>
        </w:rPr>
        <w:t>rodiny</w:t>
      </w:r>
      <w:r w:rsidRPr="00223917">
        <w:t>).</w:t>
      </w:r>
      <w:r>
        <w:rPr>
          <w:b/>
        </w:rPr>
        <w:t xml:space="preserve"> Z toho 13 dětí </w:t>
      </w:r>
      <w:r w:rsidRPr="00487372">
        <w:t xml:space="preserve">bylo přijato v období </w:t>
      </w:r>
      <w:r w:rsidR="00237D1D" w:rsidRPr="00487372">
        <w:t>od července do prosince 2015</w:t>
      </w:r>
      <w:r w:rsidRPr="00487372">
        <w:t>.</w:t>
      </w:r>
      <w:r>
        <w:rPr>
          <w:b/>
        </w:rPr>
        <w:t xml:space="preserve"> </w:t>
      </w:r>
      <w:r>
        <w:t xml:space="preserve">Naopak z ústavní služby </w:t>
      </w:r>
      <w:r w:rsidRPr="00235131">
        <w:rPr>
          <w:b/>
        </w:rPr>
        <w:t xml:space="preserve">odešlo celkem </w:t>
      </w:r>
      <w:r>
        <w:rPr>
          <w:b/>
        </w:rPr>
        <w:t>6 dětí</w:t>
      </w:r>
      <w:r w:rsidRPr="00235131">
        <w:rPr>
          <w:b/>
        </w:rPr>
        <w:t xml:space="preserve"> </w:t>
      </w:r>
      <w:r>
        <w:t xml:space="preserve">(z toho </w:t>
      </w:r>
      <w:r>
        <w:rPr>
          <w:b/>
        </w:rPr>
        <w:t>4</w:t>
      </w:r>
      <w:r>
        <w:t xml:space="preserve"> do vlastní </w:t>
      </w:r>
      <w:r w:rsidRPr="00D92556">
        <w:rPr>
          <w:b/>
        </w:rPr>
        <w:t>rodiny</w:t>
      </w:r>
      <w:r>
        <w:t xml:space="preserve"> a 2 do </w:t>
      </w:r>
      <w:r w:rsidRPr="000800AB">
        <w:rPr>
          <w:b/>
        </w:rPr>
        <w:t>jiné ústavní</w:t>
      </w:r>
      <w:r>
        <w:t xml:space="preserve"> sociální služby).</w:t>
      </w:r>
    </w:p>
    <w:p w14:paraId="76CF6D41" w14:textId="77777777" w:rsidR="000800AB" w:rsidRDefault="00237D1D" w:rsidP="00E86527">
      <w:pPr>
        <w:jc w:val="both"/>
      </w:pPr>
      <w:r w:rsidRPr="00237D1D">
        <w:rPr>
          <w:noProof/>
          <w:lang w:eastAsia="cs-CZ"/>
        </w:rPr>
        <w:lastRenderedPageBreak/>
        <w:drawing>
          <wp:inline distT="0" distB="0" distL="0" distR="0" wp14:anchorId="76CF6D73" wp14:editId="76CF6D74">
            <wp:extent cx="5760720" cy="4050113"/>
            <wp:effectExtent l="0" t="0" r="0" b="762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5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F6D42" w14:textId="77777777" w:rsidR="00237D1D" w:rsidRDefault="00237D1D" w:rsidP="00237D1D">
      <w:pPr>
        <w:jc w:val="both"/>
      </w:pPr>
      <w:r w:rsidRPr="00E86527">
        <w:rPr>
          <w:b/>
        </w:rPr>
        <w:t>Počet uživatelů</w:t>
      </w:r>
      <w:r w:rsidRPr="00E86527">
        <w:t xml:space="preserve"> se ve službě </w:t>
      </w:r>
      <w:r>
        <w:t>domovy se zvláštním režimem</w:t>
      </w:r>
      <w:r w:rsidR="0099778A">
        <w:t xml:space="preserve"> za dva roky (od prosince 2013 do prosince 2015) </w:t>
      </w:r>
      <w:r w:rsidRPr="0099778A">
        <w:rPr>
          <w:b/>
        </w:rPr>
        <w:t>z</w:t>
      </w:r>
      <w:r w:rsidRPr="0084418F">
        <w:rPr>
          <w:b/>
        </w:rPr>
        <w:t>výšil</w:t>
      </w:r>
      <w:r w:rsidRPr="00E86527">
        <w:rPr>
          <w:b/>
        </w:rPr>
        <w:t xml:space="preserve"> o </w:t>
      </w:r>
      <w:r>
        <w:rPr>
          <w:b/>
        </w:rPr>
        <w:t>27</w:t>
      </w:r>
      <w:r>
        <w:t xml:space="preserve">, na </w:t>
      </w:r>
      <w:r>
        <w:rPr>
          <w:b/>
        </w:rPr>
        <w:t>76</w:t>
      </w:r>
      <w:r>
        <w:t xml:space="preserve"> k 31. 12. 2015. Ve službě není od 3. sběru žádné dítě. </w:t>
      </w:r>
    </w:p>
    <w:p w14:paraId="76CF6D43" w14:textId="77777777" w:rsidR="00237D1D" w:rsidRDefault="00237D1D" w:rsidP="00237D1D">
      <w:pPr>
        <w:jc w:val="both"/>
      </w:pPr>
      <w:r>
        <w:t xml:space="preserve">V průběhu projektu (od dubna 2013 do prosince 2015) bylo </w:t>
      </w:r>
      <w:r w:rsidRPr="00235131">
        <w:rPr>
          <w:b/>
        </w:rPr>
        <w:t>do</w:t>
      </w:r>
      <w:r>
        <w:t xml:space="preserve"> původní </w:t>
      </w:r>
      <w:r w:rsidRPr="00235131">
        <w:rPr>
          <w:b/>
        </w:rPr>
        <w:t xml:space="preserve">ústavní </w:t>
      </w:r>
      <w:r>
        <w:t xml:space="preserve">služby </w:t>
      </w:r>
      <w:r w:rsidRPr="00235131">
        <w:rPr>
          <w:b/>
        </w:rPr>
        <w:t xml:space="preserve">přijato </w:t>
      </w:r>
      <w:r>
        <w:rPr>
          <w:b/>
        </w:rPr>
        <w:t>8</w:t>
      </w:r>
      <w:r w:rsidR="0099778A">
        <w:rPr>
          <w:b/>
        </w:rPr>
        <w:t> </w:t>
      </w:r>
      <w:r w:rsidRPr="00235131">
        <w:rPr>
          <w:b/>
        </w:rPr>
        <w:t>nových dospělých</w:t>
      </w:r>
      <w:r>
        <w:t xml:space="preserve"> klientů (</w:t>
      </w:r>
      <w:r>
        <w:rPr>
          <w:b/>
        </w:rPr>
        <w:t>1</w:t>
      </w:r>
      <w:r>
        <w:t xml:space="preserve"> z </w:t>
      </w:r>
      <w:r w:rsidRPr="000800AB">
        <w:rPr>
          <w:b/>
        </w:rPr>
        <w:t>vlastního bydlení</w:t>
      </w:r>
      <w:r>
        <w:t xml:space="preserve">, </w:t>
      </w:r>
      <w:r>
        <w:rPr>
          <w:b/>
        </w:rPr>
        <w:t>2</w:t>
      </w:r>
      <w:r>
        <w:t xml:space="preserve"> z </w:t>
      </w:r>
      <w:r w:rsidRPr="000800AB">
        <w:rPr>
          <w:b/>
        </w:rPr>
        <w:t>jiné ústavní</w:t>
      </w:r>
      <w:r>
        <w:t xml:space="preserve"> sociální služby, </w:t>
      </w:r>
      <w:r w:rsidR="0085693D">
        <w:rPr>
          <w:b/>
        </w:rPr>
        <w:t>5</w:t>
      </w:r>
      <w:r>
        <w:t xml:space="preserve"> z </w:t>
      </w:r>
      <w:r w:rsidRPr="00EF66EE">
        <w:rPr>
          <w:b/>
        </w:rPr>
        <w:t>psychiatrické</w:t>
      </w:r>
      <w:r>
        <w:t xml:space="preserve"> nemocnice). Naopak z ústavní služby </w:t>
      </w:r>
      <w:r w:rsidRPr="00235131">
        <w:rPr>
          <w:b/>
        </w:rPr>
        <w:t xml:space="preserve">odešlo celkem </w:t>
      </w:r>
      <w:r w:rsidR="0085693D">
        <w:rPr>
          <w:b/>
        </w:rPr>
        <w:t>12</w:t>
      </w:r>
      <w:r w:rsidRPr="00235131">
        <w:rPr>
          <w:b/>
        </w:rPr>
        <w:t xml:space="preserve"> dospělých uživatelů </w:t>
      </w:r>
      <w:r>
        <w:t xml:space="preserve">(z toho </w:t>
      </w:r>
      <w:r>
        <w:rPr>
          <w:b/>
        </w:rPr>
        <w:t>3</w:t>
      </w:r>
      <w:r>
        <w:t xml:space="preserve"> do </w:t>
      </w:r>
      <w:r w:rsidRPr="000800AB">
        <w:rPr>
          <w:b/>
        </w:rPr>
        <w:t>komunitní</w:t>
      </w:r>
      <w:r>
        <w:t xml:space="preserve"> sociální služby, </w:t>
      </w:r>
      <w:r w:rsidR="0085693D">
        <w:rPr>
          <w:b/>
        </w:rPr>
        <w:t>7</w:t>
      </w:r>
      <w:r>
        <w:t xml:space="preserve"> do </w:t>
      </w:r>
      <w:r w:rsidRPr="000800AB">
        <w:rPr>
          <w:b/>
        </w:rPr>
        <w:t>jiné ústavní</w:t>
      </w:r>
      <w:r>
        <w:t xml:space="preserve"> sociální služby a </w:t>
      </w:r>
      <w:r>
        <w:rPr>
          <w:b/>
        </w:rPr>
        <w:t>2</w:t>
      </w:r>
      <w:r w:rsidRPr="000800AB">
        <w:rPr>
          <w:b/>
        </w:rPr>
        <w:t xml:space="preserve"> jinam</w:t>
      </w:r>
      <w:r>
        <w:t xml:space="preserve"> – do psychiatrické nemocnice)</w:t>
      </w:r>
      <w:r w:rsidR="0085693D">
        <w:t>.</w:t>
      </w:r>
      <w:r>
        <w:t xml:space="preserve"> </w:t>
      </w:r>
    </w:p>
    <w:p w14:paraId="76CF6D44" w14:textId="77777777" w:rsidR="00EA71C5" w:rsidRDefault="00EA71C5" w:rsidP="00237D1D">
      <w:pPr>
        <w:jc w:val="both"/>
      </w:pPr>
    </w:p>
    <w:p w14:paraId="76CF6D45" w14:textId="77777777" w:rsidR="00B244D7" w:rsidRDefault="00B244D7" w:rsidP="00A53729">
      <w:pPr>
        <w:pStyle w:val="Nadpis2"/>
        <w:keepLines w:val="0"/>
        <w:rPr>
          <w:rFonts w:asciiTheme="minorHAnsi" w:hAnsiTheme="minorHAnsi"/>
          <w:i/>
          <w:sz w:val="22"/>
          <w:szCs w:val="22"/>
        </w:rPr>
      </w:pPr>
      <w:bookmarkStart w:id="4" w:name="_Toc445449324"/>
      <w:r w:rsidRPr="008A590A">
        <w:rPr>
          <w:rFonts w:asciiTheme="minorHAnsi" w:hAnsiTheme="minorHAnsi"/>
          <w:i/>
          <w:sz w:val="22"/>
          <w:szCs w:val="22"/>
        </w:rPr>
        <w:lastRenderedPageBreak/>
        <w:t>Počet uživatelů podle potřebné míry podpory</w:t>
      </w:r>
      <w:bookmarkEnd w:id="4"/>
      <w:r w:rsidR="005E7028" w:rsidRPr="008A590A">
        <w:rPr>
          <w:rFonts w:asciiTheme="minorHAnsi" w:hAnsiTheme="minorHAnsi"/>
          <w:i/>
          <w:sz w:val="22"/>
          <w:szCs w:val="22"/>
        </w:rPr>
        <w:t xml:space="preserve"> </w:t>
      </w:r>
    </w:p>
    <w:p w14:paraId="4C9AC216" w14:textId="77777777" w:rsidR="008A590A" w:rsidRPr="008A590A" w:rsidRDefault="008A590A" w:rsidP="008A590A">
      <w:pPr>
        <w:keepNext/>
      </w:pPr>
    </w:p>
    <w:p w14:paraId="76CF6D46" w14:textId="77777777" w:rsidR="00B244D7" w:rsidRDefault="00B244D7" w:rsidP="00B244D7">
      <w:pPr>
        <w:jc w:val="both"/>
        <w:rPr>
          <w:b/>
        </w:rPr>
      </w:pPr>
      <w:r w:rsidRPr="00B244D7">
        <w:rPr>
          <w:noProof/>
          <w:lang w:eastAsia="cs-CZ"/>
        </w:rPr>
        <w:drawing>
          <wp:inline distT="0" distB="0" distL="0" distR="0" wp14:anchorId="76CF6D75" wp14:editId="76CF6D76">
            <wp:extent cx="5760720" cy="2767670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F6D47" w14:textId="77777777" w:rsidR="00B244D7" w:rsidRPr="00B244D7" w:rsidRDefault="00B244D7" w:rsidP="00B244D7">
      <w:pPr>
        <w:jc w:val="both"/>
      </w:pPr>
      <w:r w:rsidRPr="00B244D7">
        <w:rPr>
          <w:b/>
        </w:rPr>
        <w:t>Nejvyšší počet</w:t>
      </w:r>
      <w:r w:rsidRPr="00B244D7">
        <w:t xml:space="preserve"> uživatelů</w:t>
      </w:r>
      <w:r>
        <w:t xml:space="preserve"> ve službě domovy pro osoby se zdravotním postižením je s </w:t>
      </w:r>
      <w:r w:rsidRPr="00B244D7">
        <w:rPr>
          <w:b/>
        </w:rPr>
        <w:t>vysokou mírou</w:t>
      </w:r>
      <w:r>
        <w:t xml:space="preserve"> </w:t>
      </w:r>
      <w:r w:rsidRPr="00EA71C5">
        <w:rPr>
          <w:b/>
        </w:rPr>
        <w:t>podpory</w:t>
      </w:r>
      <w:r>
        <w:t xml:space="preserve">, tj. </w:t>
      </w:r>
      <w:r w:rsidRPr="00B244D7">
        <w:rPr>
          <w:b/>
        </w:rPr>
        <w:t>1 682</w:t>
      </w:r>
      <w:r>
        <w:t xml:space="preserve"> k 31. </w:t>
      </w:r>
      <w:r w:rsidR="00EA71C5">
        <w:t xml:space="preserve">12. </w:t>
      </w:r>
      <w:r>
        <w:t>2015. Počet osob, u kterých nebyla vyhodnocena potřebná míra podpory,</w:t>
      </w:r>
      <w:r w:rsidR="00C12CEB">
        <w:t xml:space="preserve"> </w:t>
      </w:r>
      <w:r>
        <w:t>se snížil z původních 949 na 353</w:t>
      </w:r>
      <w:r w:rsidR="00C12CEB">
        <w:t xml:space="preserve"> uživatelů.</w:t>
      </w:r>
    </w:p>
    <w:p w14:paraId="76CF6D48" w14:textId="77777777" w:rsidR="00B244D7" w:rsidRDefault="00B244D7" w:rsidP="00B244D7">
      <w:pPr>
        <w:jc w:val="both"/>
        <w:rPr>
          <w:b/>
        </w:rPr>
      </w:pPr>
      <w:r w:rsidRPr="00B244D7">
        <w:rPr>
          <w:noProof/>
          <w:lang w:eastAsia="cs-CZ"/>
        </w:rPr>
        <w:drawing>
          <wp:inline distT="0" distB="0" distL="0" distR="0" wp14:anchorId="76CF6D77" wp14:editId="76CF6D78">
            <wp:extent cx="5760720" cy="2776360"/>
            <wp:effectExtent l="0" t="0" r="0" b="508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7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F6D49" w14:textId="77777777" w:rsidR="00C12CEB" w:rsidRDefault="00C12CEB" w:rsidP="00B244D7">
      <w:pPr>
        <w:jc w:val="both"/>
        <w:rPr>
          <w:b/>
        </w:rPr>
      </w:pPr>
      <w:r w:rsidRPr="00B244D7">
        <w:rPr>
          <w:b/>
        </w:rPr>
        <w:t>Nejvyšší počet</w:t>
      </w:r>
      <w:r w:rsidRPr="00B244D7">
        <w:t xml:space="preserve"> uživatelů</w:t>
      </w:r>
      <w:r>
        <w:t xml:space="preserve"> ve službě chráněné bydlení je se </w:t>
      </w:r>
      <w:r w:rsidRPr="00CC23C1">
        <w:rPr>
          <w:b/>
        </w:rPr>
        <w:t>střední mírou</w:t>
      </w:r>
      <w:r>
        <w:t xml:space="preserve"> </w:t>
      </w:r>
      <w:r w:rsidRPr="00EA71C5">
        <w:rPr>
          <w:b/>
        </w:rPr>
        <w:t>podpory</w:t>
      </w:r>
      <w:r>
        <w:t xml:space="preserve">, tj. </w:t>
      </w:r>
      <w:r w:rsidRPr="00CC23C1">
        <w:rPr>
          <w:b/>
        </w:rPr>
        <w:t>345</w:t>
      </w:r>
      <w:r>
        <w:t xml:space="preserve"> k 31.</w:t>
      </w:r>
      <w:r w:rsidR="00EA71C5">
        <w:t> </w:t>
      </w:r>
      <w:r w:rsidR="00CC23C1">
        <w:t>12.</w:t>
      </w:r>
      <w:r w:rsidR="00EA71C5">
        <w:t> </w:t>
      </w:r>
      <w:r>
        <w:t xml:space="preserve">2015. Počet osob, u kterých nebyla vyhodnocena potřebná míra podpory, se snížil </w:t>
      </w:r>
      <w:r w:rsidR="00CC23C1">
        <w:t xml:space="preserve">pouze nepatrně o 31, </w:t>
      </w:r>
      <w:r>
        <w:t xml:space="preserve">z původních </w:t>
      </w:r>
      <w:r w:rsidR="00CC23C1">
        <w:t>171</w:t>
      </w:r>
      <w:r>
        <w:t xml:space="preserve"> na </w:t>
      </w:r>
      <w:r w:rsidR="00CC23C1">
        <w:t>140</w:t>
      </w:r>
      <w:r>
        <w:t xml:space="preserve"> uživatelů.</w:t>
      </w:r>
    </w:p>
    <w:p w14:paraId="76CF6D4A" w14:textId="77777777" w:rsidR="00B244D7" w:rsidRDefault="00B244D7" w:rsidP="00B244D7">
      <w:pPr>
        <w:jc w:val="both"/>
        <w:rPr>
          <w:b/>
        </w:rPr>
      </w:pPr>
      <w:r w:rsidRPr="00B244D7">
        <w:rPr>
          <w:noProof/>
          <w:lang w:eastAsia="cs-CZ"/>
        </w:rPr>
        <w:lastRenderedPageBreak/>
        <w:drawing>
          <wp:inline distT="0" distB="0" distL="0" distR="0" wp14:anchorId="76CF6D79" wp14:editId="76CF6D7A">
            <wp:extent cx="5760720" cy="2767670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F6D4B" w14:textId="77777777" w:rsidR="00653F62" w:rsidRPr="003911DB" w:rsidRDefault="00653F62" w:rsidP="00B244D7">
      <w:pPr>
        <w:jc w:val="both"/>
      </w:pPr>
      <w:r w:rsidRPr="003911DB">
        <w:t xml:space="preserve">Potřebná míra podpory byla vyhodnocena </w:t>
      </w:r>
      <w:r w:rsidR="003911DB">
        <w:t>ve službě</w:t>
      </w:r>
      <w:r w:rsidRPr="003911DB">
        <w:t xml:space="preserve"> týdenní stacionáře </w:t>
      </w:r>
      <w:r w:rsidR="003911DB">
        <w:t>k 31. 12. 2015 pouze u</w:t>
      </w:r>
      <w:r w:rsidR="00EA71C5">
        <w:t> </w:t>
      </w:r>
      <w:r w:rsidR="003911DB">
        <w:t>31,50</w:t>
      </w:r>
      <w:r w:rsidR="00EA71C5">
        <w:t> </w:t>
      </w:r>
      <w:r w:rsidR="003911DB">
        <w:t>% všech</w:t>
      </w:r>
      <w:r w:rsidR="003911DB" w:rsidRPr="003911DB">
        <w:t xml:space="preserve"> uživatelů</w:t>
      </w:r>
      <w:r w:rsidR="003911DB">
        <w:t xml:space="preserve">, proto nelze ze zjištěných údajů vyvozovat nějaké obecné závěry. Převažuje počet uživatelů s vysokou mírou podpory (37). </w:t>
      </w:r>
      <w:r w:rsidR="003911DB" w:rsidRPr="003911DB">
        <w:t xml:space="preserve"> </w:t>
      </w:r>
      <w:r w:rsidRPr="003911DB">
        <w:t xml:space="preserve"> </w:t>
      </w:r>
    </w:p>
    <w:p w14:paraId="76CF6D4C" w14:textId="77777777" w:rsidR="00B244D7" w:rsidRDefault="00B244D7" w:rsidP="00B244D7">
      <w:pPr>
        <w:jc w:val="both"/>
        <w:rPr>
          <w:b/>
        </w:rPr>
      </w:pPr>
      <w:r w:rsidRPr="00B244D7">
        <w:rPr>
          <w:noProof/>
          <w:lang w:eastAsia="cs-CZ"/>
        </w:rPr>
        <w:drawing>
          <wp:inline distT="0" distB="0" distL="0" distR="0" wp14:anchorId="76CF6D7B" wp14:editId="76CF6D7C">
            <wp:extent cx="5760720" cy="2780725"/>
            <wp:effectExtent l="0" t="0" r="0" b="63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8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F6D4D" w14:textId="77777777" w:rsidR="003911DB" w:rsidRDefault="003911DB" w:rsidP="00B244D7">
      <w:pPr>
        <w:jc w:val="both"/>
      </w:pPr>
      <w:r w:rsidRPr="00B244D7">
        <w:rPr>
          <w:b/>
        </w:rPr>
        <w:t>Nejvyšší počet</w:t>
      </w:r>
      <w:r w:rsidRPr="00B244D7">
        <w:t xml:space="preserve"> uživatelů</w:t>
      </w:r>
      <w:r>
        <w:t xml:space="preserve"> ve službě domovy se zvláštním režimem </w:t>
      </w:r>
      <w:r w:rsidR="005E7028">
        <w:t>byl</w:t>
      </w:r>
      <w:r>
        <w:t xml:space="preserve"> </w:t>
      </w:r>
      <w:r w:rsidR="005E7028">
        <w:t xml:space="preserve">k 31. 2015 </w:t>
      </w:r>
      <w:r>
        <w:t>s </w:t>
      </w:r>
      <w:r w:rsidRPr="00B244D7">
        <w:rPr>
          <w:b/>
        </w:rPr>
        <w:t>vysokou mírou</w:t>
      </w:r>
      <w:r w:rsidR="005E7028">
        <w:t xml:space="preserve"> </w:t>
      </w:r>
      <w:r w:rsidR="005E7028" w:rsidRPr="00EA71C5">
        <w:rPr>
          <w:b/>
        </w:rPr>
        <w:t>podpory</w:t>
      </w:r>
      <w:r w:rsidR="005E7028">
        <w:t>, tj.</w:t>
      </w:r>
      <w:r>
        <w:t xml:space="preserve"> </w:t>
      </w:r>
      <w:r>
        <w:rPr>
          <w:b/>
        </w:rPr>
        <w:t>53</w:t>
      </w:r>
      <w:r>
        <w:t xml:space="preserve">. </w:t>
      </w:r>
      <w:r w:rsidR="005E7028">
        <w:t>P</w:t>
      </w:r>
      <w:r>
        <w:t xml:space="preserve">otřebná míra podpory </w:t>
      </w:r>
      <w:r w:rsidR="005E7028">
        <w:t xml:space="preserve">byla </w:t>
      </w:r>
      <w:r>
        <w:t xml:space="preserve">vyhodnocena </w:t>
      </w:r>
      <w:r w:rsidR="005E7028">
        <w:t xml:space="preserve">u všech uživatelů této služby, u 25 uživatelů ještě v době, kdy využívali službu domovy pro osoby se zdravotním postižením. </w:t>
      </w:r>
    </w:p>
    <w:p w14:paraId="76CF6D4E" w14:textId="77777777" w:rsidR="00EA71C5" w:rsidRPr="00B244D7" w:rsidRDefault="00EA71C5" w:rsidP="00B244D7">
      <w:pPr>
        <w:jc w:val="both"/>
        <w:rPr>
          <w:b/>
        </w:rPr>
      </w:pPr>
    </w:p>
    <w:p w14:paraId="76CF6D4F" w14:textId="77777777" w:rsidR="000800AB" w:rsidRDefault="000800AB" w:rsidP="00A53729">
      <w:pPr>
        <w:pStyle w:val="Nadpis2"/>
        <w:keepLines w:val="0"/>
        <w:rPr>
          <w:rFonts w:asciiTheme="minorHAnsi" w:hAnsiTheme="minorHAnsi"/>
          <w:i/>
          <w:sz w:val="22"/>
          <w:szCs w:val="22"/>
        </w:rPr>
      </w:pPr>
      <w:bookmarkStart w:id="5" w:name="_Toc445449325"/>
      <w:r w:rsidRPr="008A590A">
        <w:rPr>
          <w:rFonts w:asciiTheme="minorHAnsi" w:hAnsiTheme="minorHAnsi"/>
          <w:i/>
          <w:sz w:val="22"/>
          <w:szCs w:val="22"/>
        </w:rPr>
        <w:lastRenderedPageBreak/>
        <w:t xml:space="preserve">Vznik nových komunitních sociálních služeb za dobu realizace projektu (červen 2013 – </w:t>
      </w:r>
      <w:r w:rsidR="00FF680A" w:rsidRPr="008A590A">
        <w:rPr>
          <w:rFonts w:asciiTheme="minorHAnsi" w:hAnsiTheme="minorHAnsi"/>
          <w:i/>
          <w:sz w:val="22"/>
          <w:szCs w:val="22"/>
        </w:rPr>
        <w:t>prosinec</w:t>
      </w:r>
      <w:r w:rsidRPr="008A590A">
        <w:rPr>
          <w:rFonts w:asciiTheme="minorHAnsi" w:hAnsiTheme="minorHAnsi"/>
          <w:i/>
          <w:sz w:val="22"/>
          <w:szCs w:val="22"/>
        </w:rPr>
        <w:t xml:space="preserve"> 2015)</w:t>
      </w:r>
      <w:bookmarkEnd w:id="5"/>
    </w:p>
    <w:p w14:paraId="0C786F7A" w14:textId="77777777" w:rsidR="008A590A" w:rsidRPr="008A590A" w:rsidRDefault="008A590A" w:rsidP="008A590A">
      <w:pPr>
        <w:keepNext/>
      </w:pPr>
    </w:p>
    <w:p w14:paraId="76CF6D50" w14:textId="77777777" w:rsidR="00FC0F24" w:rsidRPr="00B4668E" w:rsidRDefault="00A37D1D" w:rsidP="00FC0F24">
      <w:pPr>
        <w:jc w:val="both"/>
      </w:pPr>
      <w:r>
        <w:t>Vznik nových k</w:t>
      </w:r>
      <w:r w:rsidR="00FC0F24">
        <w:t>omunitní</w:t>
      </w:r>
      <w:r w:rsidR="0071188A">
        <w:t>ch domácností byl financován</w:t>
      </w:r>
      <w:r w:rsidR="00FC0F24">
        <w:t xml:space="preserve"> </w:t>
      </w:r>
      <w:r w:rsidR="00487372">
        <w:t xml:space="preserve">zejména </w:t>
      </w:r>
      <w:r w:rsidR="00FC0F24">
        <w:t>z</w:t>
      </w:r>
      <w:r w:rsidR="00487372">
        <w:t> </w:t>
      </w:r>
      <w:r w:rsidR="00FC0F24">
        <w:t>I</w:t>
      </w:r>
      <w:r w:rsidR="00487372">
        <w:t xml:space="preserve">ntegrovaného </w:t>
      </w:r>
      <w:r w:rsidR="00001E69">
        <w:t>operačního programu</w:t>
      </w:r>
      <w:r w:rsidR="00487372">
        <w:t xml:space="preserve"> </w:t>
      </w:r>
      <w:r w:rsidR="00FC0F24">
        <w:t>a prostředků krajů.</w:t>
      </w:r>
    </w:p>
    <w:p w14:paraId="76CF6D51" w14:textId="77777777" w:rsidR="000800AB" w:rsidRDefault="00487372" w:rsidP="000800AB">
      <w:pPr>
        <w:jc w:val="both"/>
        <w:rPr>
          <w:b/>
        </w:rPr>
      </w:pPr>
      <w:r w:rsidRPr="00487372">
        <w:rPr>
          <w:noProof/>
          <w:lang w:eastAsia="cs-CZ"/>
        </w:rPr>
        <w:drawing>
          <wp:inline distT="0" distB="0" distL="0" distR="0" wp14:anchorId="76CF6D7D" wp14:editId="76CF6D7E">
            <wp:extent cx="5760720" cy="3403256"/>
            <wp:effectExtent l="0" t="0" r="0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0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F6D52" w14:textId="77777777" w:rsidR="00B4668E" w:rsidRPr="00B4668E" w:rsidRDefault="00B4668E" w:rsidP="000800AB">
      <w:pPr>
        <w:jc w:val="both"/>
      </w:pPr>
      <w:r w:rsidRPr="00B4668E">
        <w:t xml:space="preserve">V období června 2013 až </w:t>
      </w:r>
      <w:r w:rsidR="00487372">
        <w:t>prosince</w:t>
      </w:r>
      <w:r w:rsidRPr="00B4668E">
        <w:t xml:space="preserve"> 2015 vzniklo celkem </w:t>
      </w:r>
      <w:r w:rsidR="00001E69">
        <w:rPr>
          <w:b/>
        </w:rPr>
        <w:t>107</w:t>
      </w:r>
      <w:r w:rsidRPr="00FC0F24">
        <w:rPr>
          <w:b/>
        </w:rPr>
        <w:t xml:space="preserve"> komunitních</w:t>
      </w:r>
      <w:r w:rsidRPr="00B4668E">
        <w:t xml:space="preserve"> </w:t>
      </w:r>
      <w:r w:rsidRPr="00FC0F24">
        <w:rPr>
          <w:b/>
        </w:rPr>
        <w:t>domácností</w:t>
      </w:r>
      <w:r w:rsidRPr="00B4668E">
        <w:t xml:space="preserve"> </w:t>
      </w:r>
      <w:r w:rsidR="00EA71C5">
        <w:t xml:space="preserve">se službou domov pro osoby se zdravotním postižením </w:t>
      </w:r>
      <w:r w:rsidRPr="00B4668E">
        <w:t xml:space="preserve">pro </w:t>
      </w:r>
      <w:r w:rsidR="00001E69">
        <w:rPr>
          <w:b/>
        </w:rPr>
        <w:t>492</w:t>
      </w:r>
      <w:r w:rsidRPr="00FC0F24">
        <w:rPr>
          <w:b/>
        </w:rPr>
        <w:t xml:space="preserve"> uživatelů</w:t>
      </w:r>
      <w:r w:rsidRPr="00B4668E">
        <w:t>.</w:t>
      </w:r>
      <w:r w:rsidR="00FC0F24">
        <w:t xml:space="preserve"> Více než polovina nových domácností (</w:t>
      </w:r>
      <w:r w:rsidR="00001E69">
        <w:rPr>
          <w:b/>
        </w:rPr>
        <w:t>69</w:t>
      </w:r>
      <w:r w:rsidR="00FC0F24">
        <w:t xml:space="preserve">) </w:t>
      </w:r>
      <w:r w:rsidR="00FC0F24" w:rsidRPr="00FC0F24">
        <w:rPr>
          <w:b/>
        </w:rPr>
        <w:t>vznikla na základě</w:t>
      </w:r>
      <w:r w:rsidR="00EA71C5">
        <w:rPr>
          <w:b/>
        </w:rPr>
        <w:t xml:space="preserve"> nové vý</w:t>
      </w:r>
      <w:r w:rsidR="00FC0F24" w:rsidRPr="00FC0F24">
        <w:rPr>
          <w:b/>
        </w:rPr>
        <w:t>stavby</w:t>
      </w:r>
      <w:r w:rsidR="00FC0F24">
        <w:t xml:space="preserve">. </w:t>
      </w:r>
    </w:p>
    <w:p w14:paraId="76CF6D53" w14:textId="77777777" w:rsidR="000800AB" w:rsidRDefault="00001E69" w:rsidP="000800AB">
      <w:pPr>
        <w:jc w:val="both"/>
        <w:rPr>
          <w:b/>
        </w:rPr>
      </w:pPr>
      <w:r w:rsidRPr="00001E69">
        <w:rPr>
          <w:noProof/>
          <w:lang w:eastAsia="cs-CZ"/>
        </w:rPr>
        <w:lastRenderedPageBreak/>
        <w:drawing>
          <wp:inline distT="0" distB="0" distL="0" distR="0" wp14:anchorId="76CF6D7F" wp14:editId="76CF6D80">
            <wp:extent cx="5760720" cy="3356778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5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F6D54" w14:textId="77777777" w:rsidR="00B4668E" w:rsidRPr="00B4668E" w:rsidRDefault="00B4668E" w:rsidP="00B4668E">
      <w:pPr>
        <w:jc w:val="both"/>
      </w:pPr>
      <w:r w:rsidRPr="005E7028">
        <w:t xml:space="preserve">V období června 2013 až června 2015 vzniklo celkem </w:t>
      </w:r>
      <w:r w:rsidR="00001E69" w:rsidRPr="005E7028">
        <w:rPr>
          <w:b/>
        </w:rPr>
        <w:t>114</w:t>
      </w:r>
      <w:r w:rsidRPr="005E7028">
        <w:rPr>
          <w:b/>
        </w:rPr>
        <w:t xml:space="preserve"> komunitních domácností</w:t>
      </w:r>
      <w:r w:rsidRPr="005E7028">
        <w:t xml:space="preserve"> pro </w:t>
      </w:r>
      <w:r w:rsidR="00001E69" w:rsidRPr="005E7028">
        <w:rPr>
          <w:b/>
        </w:rPr>
        <w:t>436</w:t>
      </w:r>
      <w:r w:rsidRPr="005E7028">
        <w:rPr>
          <w:b/>
        </w:rPr>
        <w:t xml:space="preserve"> uživatelů</w:t>
      </w:r>
      <w:r w:rsidRPr="005E7028">
        <w:t xml:space="preserve">. </w:t>
      </w:r>
      <w:r w:rsidR="0071188A" w:rsidRPr="005E7028">
        <w:t xml:space="preserve">Oproti službě DOZP </w:t>
      </w:r>
      <w:r w:rsidR="00386631" w:rsidRPr="005E7028">
        <w:t xml:space="preserve">v chráněném bydlení </w:t>
      </w:r>
      <w:r w:rsidR="00001E69" w:rsidRPr="005E7028">
        <w:t xml:space="preserve">mírně </w:t>
      </w:r>
      <w:r w:rsidR="00386631" w:rsidRPr="005E7028">
        <w:rPr>
          <w:b/>
        </w:rPr>
        <w:t>převažují domácnosti vzniklé na základě koupě</w:t>
      </w:r>
      <w:r w:rsidR="00386631" w:rsidRPr="005E7028">
        <w:t xml:space="preserve"> a případně následné rekonstrukce (</w:t>
      </w:r>
      <w:r w:rsidR="00C12CEB" w:rsidRPr="005E7028">
        <w:t>42)</w:t>
      </w:r>
      <w:r w:rsidR="00386631" w:rsidRPr="005E7028">
        <w:t xml:space="preserve"> </w:t>
      </w:r>
      <w:r w:rsidR="00386631" w:rsidRPr="005E7028">
        <w:rPr>
          <w:b/>
        </w:rPr>
        <w:t>a</w:t>
      </w:r>
      <w:r w:rsidR="00386631" w:rsidRPr="005E7028">
        <w:t xml:space="preserve"> domácnosti </w:t>
      </w:r>
      <w:r w:rsidR="00386631" w:rsidRPr="005E7028">
        <w:rPr>
          <w:b/>
        </w:rPr>
        <w:t>v pronajatých bytech</w:t>
      </w:r>
      <w:r w:rsidR="00386631" w:rsidRPr="005E7028">
        <w:t xml:space="preserve"> (3</w:t>
      </w:r>
      <w:r w:rsidR="00C12CEB" w:rsidRPr="005E7028">
        <w:t>7).</w:t>
      </w:r>
      <w:r w:rsidR="00386631" w:rsidRPr="005E7028">
        <w:t xml:space="preserve"> </w:t>
      </w:r>
      <w:r w:rsidR="00C12CEB">
        <w:t>Nejvíce uživatelů naopak žije v komunitních domácnostech, které vznikly na základě stavby (180).</w:t>
      </w:r>
    </w:p>
    <w:p w14:paraId="76CF6D55" w14:textId="30A19B2E" w:rsidR="00B4668E" w:rsidRDefault="001515CF" w:rsidP="000800AB">
      <w:pPr>
        <w:jc w:val="both"/>
        <w:rPr>
          <w:b/>
        </w:rPr>
      </w:pPr>
      <w:r>
        <w:rPr>
          <w:noProof/>
          <w:lang w:eastAsia="cs-CZ"/>
        </w:rPr>
        <w:drawing>
          <wp:inline distT="0" distB="0" distL="0" distR="0" wp14:anchorId="42CB0B27" wp14:editId="36934502">
            <wp:extent cx="5760720" cy="3317240"/>
            <wp:effectExtent l="0" t="0" r="0" b="0"/>
            <wp:docPr id="10" name="Obrázek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1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F6D56" w14:textId="4AA64B23" w:rsidR="000800AB" w:rsidRDefault="00B4668E" w:rsidP="000800AB">
      <w:pPr>
        <w:jc w:val="both"/>
      </w:pPr>
      <w:r w:rsidRPr="00B4668E">
        <w:t>V</w:t>
      </w:r>
      <w:r w:rsidR="00386631">
        <w:t> </w:t>
      </w:r>
      <w:r w:rsidR="00E95E37">
        <w:t>roce 2015 vzniklo</w:t>
      </w:r>
      <w:r w:rsidRPr="00B4668E">
        <w:t xml:space="preserve"> </w:t>
      </w:r>
      <w:r w:rsidR="001515CF">
        <w:t>7</w:t>
      </w:r>
      <w:r w:rsidRPr="00386631">
        <w:rPr>
          <w:b/>
        </w:rPr>
        <w:t xml:space="preserve"> komunitní</w:t>
      </w:r>
      <w:r w:rsidR="00E95E37">
        <w:rPr>
          <w:b/>
        </w:rPr>
        <w:t>ch</w:t>
      </w:r>
      <w:r w:rsidRPr="00386631">
        <w:rPr>
          <w:b/>
        </w:rPr>
        <w:t xml:space="preserve"> domácnost</w:t>
      </w:r>
      <w:r w:rsidR="00E95E37">
        <w:rPr>
          <w:b/>
        </w:rPr>
        <w:t>í</w:t>
      </w:r>
      <w:r w:rsidR="008163EA">
        <w:rPr>
          <w:b/>
        </w:rPr>
        <w:t xml:space="preserve"> </w:t>
      </w:r>
      <w:r w:rsidR="008163EA" w:rsidRPr="008163EA">
        <w:t>domova se zvláštním režimem</w:t>
      </w:r>
      <w:r w:rsidRPr="00B4668E">
        <w:t xml:space="preserve"> pro </w:t>
      </w:r>
      <w:r w:rsidR="001515CF">
        <w:rPr>
          <w:b/>
        </w:rPr>
        <w:t>33</w:t>
      </w:r>
      <w:r w:rsidRPr="00386631">
        <w:rPr>
          <w:b/>
        </w:rPr>
        <w:t xml:space="preserve"> uživatelů</w:t>
      </w:r>
      <w:r w:rsidR="00386631">
        <w:t xml:space="preserve"> na základě stavby</w:t>
      </w:r>
      <w:r w:rsidRPr="00B4668E">
        <w:t>.</w:t>
      </w:r>
    </w:p>
    <w:p w14:paraId="76CF6D57" w14:textId="13998360" w:rsidR="00386631" w:rsidRDefault="001F61C2" w:rsidP="000800AB">
      <w:pPr>
        <w:jc w:val="both"/>
      </w:pPr>
      <w:r w:rsidRPr="001F61C2">
        <w:lastRenderedPageBreak/>
        <w:t xml:space="preserve"> </w:t>
      </w:r>
      <w:r w:rsidRPr="00A22595">
        <w:t>Žádný týdenní stacionář nově nevznikl, pouze byl k</w:t>
      </w:r>
      <w:r w:rsidR="005612A3">
        <w:t xml:space="preserve"> </w:t>
      </w:r>
      <w:r w:rsidRPr="00A22595">
        <w:t xml:space="preserve">jednomu poskytovateli převeden </w:t>
      </w:r>
      <w:r>
        <w:t xml:space="preserve">původně samostatný </w:t>
      </w:r>
      <w:r w:rsidRPr="00A22595">
        <w:t>týdenní stacionář.</w:t>
      </w:r>
    </w:p>
    <w:p w14:paraId="76CF6D58" w14:textId="77777777" w:rsidR="001F61C2" w:rsidRPr="008A590A" w:rsidRDefault="001F61C2" w:rsidP="000800AB">
      <w:pPr>
        <w:jc w:val="both"/>
      </w:pPr>
    </w:p>
    <w:p w14:paraId="76CF6D59" w14:textId="77777777" w:rsidR="000800AB" w:rsidRDefault="000800AB" w:rsidP="00A53729">
      <w:pPr>
        <w:pStyle w:val="Nadpis2"/>
        <w:keepLines w:val="0"/>
        <w:rPr>
          <w:rFonts w:asciiTheme="minorHAnsi" w:hAnsiTheme="minorHAnsi"/>
          <w:i/>
          <w:sz w:val="22"/>
          <w:szCs w:val="22"/>
        </w:rPr>
      </w:pPr>
      <w:bookmarkStart w:id="6" w:name="_Toc445449326"/>
      <w:r w:rsidRPr="008A590A">
        <w:rPr>
          <w:rFonts w:asciiTheme="minorHAnsi" w:hAnsiTheme="minorHAnsi"/>
          <w:i/>
          <w:sz w:val="22"/>
          <w:szCs w:val="22"/>
        </w:rPr>
        <w:t>Stav komunitních sociálních služeb k 31. 12. 2013, 30. 6., 31. 12. 2014, 30. 6.</w:t>
      </w:r>
      <w:r w:rsidR="00E95E37" w:rsidRPr="008A590A">
        <w:rPr>
          <w:rFonts w:asciiTheme="minorHAnsi" w:hAnsiTheme="minorHAnsi"/>
          <w:i/>
          <w:sz w:val="22"/>
          <w:szCs w:val="22"/>
        </w:rPr>
        <w:t>, 31. 12.</w:t>
      </w:r>
      <w:r w:rsidRPr="008A590A">
        <w:rPr>
          <w:rFonts w:asciiTheme="minorHAnsi" w:hAnsiTheme="minorHAnsi"/>
          <w:i/>
          <w:sz w:val="22"/>
          <w:szCs w:val="22"/>
        </w:rPr>
        <w:t xml:space="preserve"> 2015</w:t>
      </w:r>
      <w:bookmarkEnd w:id="6"/>
    </w:p>
    <w:p w14:paraId="2A50EC39" w14:textId="77777777" w:rsidR="008A590A" w:rsidRPr="008A590A" w:rsidRDefault="008A590A" w:rsidP="008A590A">
      <w:pPr>
        <w:keepNext/>
      </w:pPr>
    </w:p>
    <w:p w14:paraId="76CF6D5A" w14:textId="77777777" w:rsidR="00386631" w:rsidRDefault="00386631" w:rsidP="00D245CD">
      <w:pPr>
        <w:keepNext/>
        <w:jc w:val="both"/>
      </w:pPr>
      <w:r>
        <w:t>Následující data reflektují počty komunitních domácností a jejích uživatelů k datům jednotlivých sběrů.</w:t>
      </w:r>
    </w:p>
    <w:p w14:paraId="76CF6D5B" w14:textId="77777777" w:rsidR="00E95E37" w:rsidRPr="00386631" w:rsidRDefault="00E95E37" w:rsidP="00386631">
      <w:pPr>
        <w:jc w:val="both"/>
      </w:pPr>
      <w:r w:rsidRPr="00E95E37">
        <w:rPr>
          <w:noProof/>
          <w:lang w:eastAsia="cs-CZ"/>
        </w:rPr>
        <w:drawing>
          <wp:inline distT="0" distB="0" distL="0" distR="0" wp14:anchorId="76CF6D83" wp14:editId="76CF6D84">
            <wp:extent cx="5648325" cy="348615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F6D5C" w14:textId="77777777" w:rsidR="004553C0" w:rsidRPr="00B4668E" w:rsidRDefault="00386631" w:rsidP="004553C0">
      <w:pPr>
        <w:jc w:val="both"/>
      </w:pPr>
      <w:r w:rsidRPr="00386631">
        <w:t xml:space="preserve">V rámci služby domovy pro osoby se zdravotním postižením </w:t>
      </w:r>
      <w:r w:rsidR="00E95E37">
        <w:t>bylo</w:t>
      </w:r>
      <w:r w:rsidRPr="00386631">
        <w:t xml:space="preserve"> k 3</w:t>
      </w:r>
      <w:r w:rsidR="00E95E37">
        <w:t>1</w:t>
      </w:r>
      <w:r w:rsidRPr="00386631">
        <w:t xml:space="preserve">. </w:t>
      </w:r>
      <w:r w:rsidR="00E95E37">
        <w:t>12</w:t>
      </w:r>
      <w:r w:rsidRPr="00386631">
        <w:t>.</w:t>
      </w:r>
      <w:r>
        <w:rPr>
          <w:b/>
        </w:rPr>
        <w:t xml:space="preserve"> </w:t>
      </w:r>
      <w:r w:rsidR="003E7AE6" w:rsidRPr="00B96AE2">
        <w:t>2015</w:t>
      </w:r>
      <w:r w:rsidR="003E7AE6">
        <w:rPr>
          <w:b/>
        </w:rPr>
        <w:t xml:space="preserve"> 111</w:t>
      </w:r>
      <w:r>
        <w:rPr>
          <w:b/>
        </w:rPr>
        <w:t xml:space="preserve"> komunitních domácností, </w:t>
      </w:r>
      <w:r w:rsidRPr="00386631">
        <w:t>ve kterých žije</w:t>
      </w:r>
      <w:r>
        <w:rPr>
          <w:b/>
        </w:rPr>
        <w:t xml:space="preserve"> </w:t>
      </w:r>
      <w:r w:rsidR="003E7AE6">
        <w:rPr>
          <w:b/>
        </w:rPr>
        <w:t>522</w:t>
      </w:r>
      <w:r>
        <w:rPr>
          <w:b/>
        </w:rPr>
        <w:t xml:space="preserve"> uživatelů.</w:t>
      </w:r>
      <w:r w:rsidR="004553C0" w:rsidRPr="004553C0">
        <w:t xml:space="preserve"> </w:t>
      </w:r>
      <w:r w:rsidR="004553C0">
        <w:t>Více než polovinu domácností (</w:t>
      </w:r>
      <w:r w:rsidR="003E7AE6">
        <w:rPr>
          <w:b/>
        </w:rPr>
        <w:t>77</w:t>
      </w:r>
      <w:r w:rsidR="004553C0">
        <w:t xml:space="preserve">) služby domovy pro osoby se zdravotním postižením tvoří domácnosti </w:t>
      </w:r>
      <w:r w:rsidR="004553C0">
        <w:rPr>
          <w:b/>
        </w:rPr>
        <w:t>vzniklé</w:t>
      </w:r>
      <w:r w:rsidR="004553C0" w:rsidRPr="00FC0F24">
        <w:rPr>
          <w:b/>
        </w:rPr>
        <w:t xml:space="preserve"> na základě stavby</w:t>
      </w:r>
      <w:r w:rsidR="004553C0" w:rsidRPr="004553C0">
        <w:t xml:space="preserve"> </w:t>
      </w:r>
      <w:r w:rsidR="004553C0">
        <w:t xml:space="preserve">pro </w:t>
      </w:r>
      <w:r w:rsidR="003E7AE6" w:rsidRPr="003E7AE6">
        <w:rPr>
          <w:b/>
        </w:rPr>
        <w:t>375</w:t>
      </w:r>
      <w:r w:rsidR="004553C0">
        <w:t xml:space="preserve"> uživatelů. </w:t>
      </w:r>
    </w:p>
    <w:p w14:paraId="76CF6D5D" w14:textId="77777777" w:rsidR="00386631" w:rsidRDefault="003E7AE6" w:rsidP="000800AB">
      <w:pPr>
        <w:jc w:val="both"/>
        <w:rPr>
          <w:b/>
        </w:rPr>
      </w:pPr>
      <w:r w:rsidRPr="003E7AE6">
        <w:rPr>
          <w:noProof/>
          <w:lang w:eastAsia="cs-CZ"/>
        </w:rPr>
        <w:lastRenderedPageBreak/>
        <w:drawing>
          <wp:inline distT="0" distB="0" distL="0" distR="0" wp14:anchorId="76CF6D85" wp14:editId="76CF6D86">
            <wp:extent cx="5743575" cy="3486150"/>
            <wp:effectExtent l="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F6D5E" w14:textId="77777777" w:rsidR="004553C0" w:rsidRPr="00B4668E" w:rsidRDefault="004553C0" w:rsidP="004553C0">
      <w:pPr>
        <w:jc w:val="both"/>
      </w:pPr>
      <w:r w:rsidRPr="00386631">
        <w:t xml:space="preserve">V rámci služby </w:t>
      </w:r>
      <w:r>
        <w:t>chráněné bydlení</w:t>
      </w:r>
      <w:r w:rsidRPr="00386631">
        <w:t xml:space="preserve"> </w:t>
      </w:r>
      <w:r w:rsidR="003E7AE6">
        <w:t>bylo</w:t>
      </w:r>
      <w:r w:rsidRPr="00386631">
        <w:t xml:space="preserve"> k 3</w:t>
      </w:r>
      <w:r w:rsidR="003E7AE6">
        <w:t>1</w:t>
      </w:r>
      <w:r w:rsidRPr="00386631">
        <w:t xml:space="preserve">. </w:t>
      </w:r>
      <w:r w:rsidR="003E7AE6">
        <w:t>12</w:t>
      </w:r>
      <w:r w:rsidRPr="00386631">
        <w:t>.</w:t>
      </w:r>
      <w:r>
        <w:rPr>
          <w:b/>
        </w:rPr>
        <w:t xml:space="preserve"> </w:t>
      </w:r>
      <w:r w:rsidR="003E7AE6" w:rsidRPr="003E7AE6">
        <w:t>2015</w:t>
      </w:r>
      <w:r w:rsidR="003E7AE6">
        <w:rPr>
          <w:b/>
        </w:rPr>
        <w:t xml:space="preserve"> </w:t>
      </w:r>
      <w:r w:rsidR="000965F3">
        <w:rPr>
          <w:b/>
        </w:rPr>
        <w:t>219</w:t>
      </w:r>
      <w:r>
        <w:rPr>
          <w:b/>
        </w:rPr>
        <w:t xml:space="preserve"> komunitních domácností, </w:t>
      </w:r>
      <w:r w:rsidRPr="00386631">
        <w:t>ve kterých žije</w:t>
      </w:r>
      <w:r>
        <w:rPr>
          <w:b/>
        </w:rPr>
        <w:t xml:space="preserve"> </w:t>
      </w:r>
      <w:r w:rsidR="000965F3">
        <w:rPr>
          <w:b/>
        </w:rPr>
        <w:t>727</w:t>
      </w:r>
      <w:r>
        <w:rPr>
          <w:b/>
        </w:rPr>
        <w:t xml:space="preserve"> uživatelů.</w:t>
      </w:r>
      <w:r w:rsidRPr="004553C0">
        <w:t xml:space="preserve"> </w:t>
      </w:r>
      <w:r>
        <w:t xml:space="preserve">Ve vztahu k počtu </w:t>
      </w:r>
      <w:r w:rsidR="00C63379">
        <w:t>uživatelů</w:t>
      </w:r>
      <w:r>
        <w:t xml:space="preserve"> </w:t>
      </w:r>
      <w:r w:rsidRPr="008163EA">
        <w:rPr>
          <w:b/>
        </w:rPr>
        <w:t>p</w:t>
      </w:r>
      <w:r w:rsidRPr="004553C0">
        <w:rPr>
          <w:b/>
        </w:rPr>
        <w:t>řevažují domácnosti</w:t>
      </w:r>
      <w:r w:rsidR="00C63379">
        <w:rPr>
          <w:b/>
        </w:rPr>
        <w:t xml:space="preserve"> v</w:t>
      </w:r>
      <w:r w:rsidRPr="004553C0">
        <w:rPr>
          <w:b/>
        </w:rPr>
        <w:t>zniklé na základě koupě</w:t>
      </w:r>
      <w:r>
        <w:t xml:space="preserve"> a případně následné rekonstrukce (</w:t>
      </w:r>
      <w:r w:rsidR="003E7AE6">
        <w:t>76</w:t>
      </w:r>
      <w:r>
        <w:t xml:space="preserve"> domácností pro </w:t>
      </w:r>
      <w:r w:rsidR="003E7AE6">
        <w:t>282</w:t>
      </w:r>
      <w:r>
        <w:t xml:space="preserve"> uživatelů) </w:t>
      </w:r>
      <w:r w:rsidRPr="008163EA">
        <w:t>a</w:t>
      </w:r>
      <w:r>
        <w:t xml:space="preserve"> </w:t>
      </w:r>
      <w:r w:rsidRPr="000965F3">
        <w:rPr>
          <w:b/>
        </w:rPr>
        <w:t>domácnosti</w:t>
      </w:r>
      <w:r>
        <w:t xml:space="preserve"> </w:t>
      </w:r>
      <w:r w:rsidR="000965F3">
        <w:t xml:space="preserve">vzniklé </w:t>
      </w:r>
      <w:r w:rsidR="000965F3" w:rsidRPr="000965F3">
        <w:rPr>
          <w:b/>
        </w:rPr>
        <w:t>na základě stavby</w:t>
      </w:r>
      <w:r w:rsidR="000965F3">
        <w:t xml:space="preserve"> </w:t>
      </w:r>
      <w:r>
        <w:t>(</w:t>
      </w:r>
      <w:r w:rsidR="00C63379">
        <w:t>7</w:t>
      </w:r>
      <w:r w:rsidR="000965F3">
        <w:t>3</w:t>
      </w:r>
      <w:r>
        <w:t xml:space="preserve"> domácností pro </w:t>
      </w:r>
      <w:r w:rsidR="000965F3">
        <w:t>255</w:t>
      </w:r>
      <w:r>
        <w:t xml:space="preserve"> uživatelů).</w:t>
      </w:r>
      <w:r w:rsidR="00C63379">
        <w:t xml:space="preserve"> </w:t>
      </w:r>
    </w:p>
    <w:p w14:paraId="76CF6D5F" w14:textId="6C79D94C" w:rsidR="004553C0" w:rsidRDefault="001515CF" w:rsidP="000800AB">
      <w:pPr>
        <w:jc w:val="both"/>
        <w:rPr>
          <w:b/>
        </w:rPr>
      </w:pPr>
      <w:r>
        <w:rPr>
          <w:noProof/>
          <w:lang w:eastAsia="cs-CZ"/>
        </w:rPr>
        <w:drawing>
          <wp:inline distT="0" distB="0" distL="0" distR="0" wp14:anchorId="19921A52" wp14:editId="150869DF">
            <wp:extent cx="5727700" cy="3486785"/>
            <wp:effectExtent l="0" t="0" r="6350" b="0"/>
            <wp:docPr id="11" name="Obrázek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8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6CDDE" w14:textId="0C544174" w:rsidR="001515CF" w:rsidRDefault="004553C0" w:rsidP="001515CF">
      <w:pPr>
        <w:jc w:val="both"/>
      </w:pPr>
      <w:r>
        <w:t>K 3</w:t>
      </w:r>
      <w:r w:rsidR="006A300B">
        <w:t>1</w:t>
      </w:r>
      <w:r>
        <w:t xml:space="preserve">. </w:t>
      </w:r>
      <w:r w:rsidR="006A300B">
        <w:t>12</w:t>
      </w:r>
      <w:r>
        <w:t xml:space="preserve">. 2015 </w:t>
      </w:r>
      <w:r w:rsidR="006A300B">
        <w:t>bylo</w:t>
      </w:r>
      <w:r w:rsidRPr="00B4668E">
        <w:t xml:space="preserve"> </w:t>
      </w:r>
      <w:r w:rsidR="001515CF">
        <w:t>7</w:t>
      </w:r>
      <w:r w:rsidR="006A300B" w:rsidRPr="00386631">
        <w:rPr>
          <w:b/>
        </w:rPr>
        <w:t xml:space="preserve"> komunitní</w:t>
      </w:r>
      <w:r w:rsidR="006A300B">
        <w:rPr>
          <w:b/>
        </w:rPr>
        <w:t>ch</w:t>
      </w:r>
      <w:r w:rsidR="006A300B" w:rsidRPr="00386631">
        <w:rPr>
          <w:b/>
        </w:rPr>
        <w:t xml:space="preserve"> domácnost</w:t>
      </w:r>
      <w:r w:rsidR="006A300B">
        <w:rPr>
          <w:b/>
        </w:rPr>
        <w:t>í</w:t>
      </w:r>
      <w:r w:rsidR="006A300B" w:rsidRPr="00B4668E">
        <w:t xml:space="preserve"> </w:t>
      </w:r>
      <w:r w:rsidR="006A300B">
        <w:t>vzniklých</w:t>
      </w:r>
      <w:r>
        <w:t xml:space="preserve"> na základě stavby</w:t>
      </w:r>
      <w:r w:rsidRPr="004553C0">
        <w:t xml:space="preserve"> </w:t>
      </w:r>
      <w:r w:rsidRPr="00B4668E">
        <w:t xml:space="preserve">pro </w:t>
      </w:r>
      <w:r w:rsidR="001515CF">
        <w:rPr>
          <w:b/>
        </w:rPr>
        <w:t>33</w:t>
      </w:r>
      <w:r w:rsidRPr="00386631">
        <w:rPr>
          <w:b/>
        </w:rPr>
        <w:t xml:space="preserve"> uživatelů</w:t>
      </w:r>
      <w:r w:rsidRPr="00B4668E">
        <w:t>.</w:t>
      </w:r>
      <w:r w:rsidR="001515CF">
        <w:br w:type="page"/>
      </w:r>
    </w:p>
    <w:p w14:paraId="7C05737B" w14:textId="0351A51D" w:rsidR="001515CF" w:rsidRDefault="001515CF" w:rsidP="001515CF">
      <w:pPr>
        <w:pStyle w:val="Nadpis1"/>
        <w:rPr>
          <w:rFonts w:asciiTheme="minorHAnsi" w:hAnsiTheme="minorHAnsi"/>
        </w:rPr>
      </w:pPr>
      <w:bookmarkStart w:id="7" w:name="_Toc445449327"/>
      <w:r w:rsidRPr="008A590A">
        <w:rPr>
          <w:rFonts w:asciiTheme="minorHAnsi" w:hAnsiTheme="minorHAnsi"/>
        </w:rPr>
        <w:lastRenderedPageBreak/>
        <w:t>Přehled zpracovaných statistických údajů z </w:t>
      </w:r>
      <w:r w:rsidR="009C2164">
        <w:rPr>
          <w:rFonts w:asciiTheme="minorHAnsi" w:hAnsiTheme="minorHAnsi"/>
        </w:rPr>
        <w:t>velkého</w:t>
      </w:r>
      <w:r w:rsidR="009C2164" w:rsidRPr="008A590A">
        <w:rPr>
          <w:rFonts w:asciiTheme="minorHAnsi" w:hAnsiTheme="minorHAnsi"/>
        </w:rPr>
        <w:t xml:space="preserve"> </w:t>
      </w:r>
      <w:r w:rsidRPr="008A590A">
        <w:rPr>
          <w:rFonts w:asciiTheme="minorHAnsi" w:hAnsiTheme="minorHAnsi"/>
        </w:rPr>
        <w:t>sběru dat v rámci projektu Transformace sociálních služeb</w:t>
      </w:r>
      <w:bookmarkEnd w:id="7"/>
      <w:r w:rsidRPr="008A590A">
        <w:rPr>
          <w:rFonts w:asciiTheme="minorHAnsi" w:hAnsiTheme="minorHAnsi"/>
        </w:rPr>
        <w:t xml:space="preserve"> </w:t>
      </w:r>
    </w:p>
    <w:p w14:paraId="15A10B57" w14:textId="77777777" w:rsidR="001515CF" w:rsidRDefault="001515CF" w:rsidP="000800AB">
      <w:pPr>
        <w:jc w:val="both"/>
      </w:pPr>
    </w:p>
    <w:p w14:paraId="63F92B02" w14:textId="3268A0E9" w:rsidR="001515CF" w:rsidRDefault="0002245A" w:rsidP="000800AB">
      <w:pPr>
        <w:jc w:val="both"/>
        <w:rPr>
          <w:rFonts w:cs="Arial"/>
          <w:szCs w:val="24"/>
        </w:rPr>
      </w:pPr>
      <w:r w:rsidRPr="00197D35">
        <w:rPr>
          <w:rFonts w:cs="Arial"/>
          <w:szCs w:val="24"/>
        </w:rPr>
        <w:t xml:space="preserve">V projektu Transformace sociálních služeb </w:t>
      </w:r>
      <w:r>
        <w:rPr>
          <w:rFonts w:cs="Arial"/>
          <w:szCs w:val="24"/>
        </w:rPr>
        <w:t>byly</w:t>
      </w:r>
      <w:r w:rsidRPr="00197D35">
        <w:rPr>
          <w:rFonts w:cs="Arial"/>
          <w:szCs w:val="24"/>
        </w:rPr>
        <w:t xml:space="preserve"> sbírány u 7 zapojených poskytovatelů údaje o</w:t>
      </w:r>
      <w:r>
        <w:rPr>
          <w:rFonts w:cs="Arial"/>
          <w:szCs w:val="24"/>
        </w:rPr>
        <w:t> </w:t>
      </w:r>
      <w:r w:rsidRPr="00197D35">
        <w:rPr>
          <w:rFonts w:cs="Arial"/>
          <w:szCs w:val="24"/>
        </w:rPr>
        <w:t xml:space="preserve">změnách v průběhu </w:t>
      </w:r>
      <w:r>
        <w:rPr>
          <w:rFonts w:cs="Arial"/>
          <w:szCs w:val="24"/>
        </w:rPr>
        <w:t>transformace. Konkrétně se jednalo</w:t>
      </w:r>
      <w:r w:rsidRPr="00197D35">
        <w:rPr>
          <w:rFonts w:cs="Arial"/>
          <w:szCs w:val="24"/>
        </w:rPr>
        <w:t xml:space="preserve"> o</w:t>
      </w:r>
      <w:r>
        <w:rPr>
          <w:rFonts w:cs="Arial"/>
          <w:szCs w:val="24"/>
        </w:rPr>
        <w:t> </w:t>
      </w:r>
      <w:r w:rsidRPr="00197D35">
        <w:rPr>
          <w:rFonts w:cs="Arial"/>
          <w:szCs w:val="24"/>
        </w:rPr>
        <w:t>zjišťování druhů poskytovaných s</w:t>
      </w:r>
      <w:r>
        <w:rPr>
          <w:rFonts w:cs="Arial"/>
          <w:szCs w:val="24"/>
        </w:rPr>
        <w:t>ociálních služeb, cílové skupiny</w:t>
      </w:r>
      <w:r w:rsidRPr="00197D35">
        <w:rPr>
          <w:rFonts w:cs="Arial"/>
          <w:szCs w:val="24"/>
        </w:rPr>
        <w:t>, věkové struktu</w:t>
      </w:r>
      <w:r>
        <w:rPr>
          <w:rFonts w:cs="Arial"/>
          <w:szCs w:val="24"/>
        </w:rPr>
        <w:t>ry cílové skupiny, kapacity</w:t>
      </w:r>
      <w:r w:rsidRPr="00197D35">
        <w:rPr>
          <w:rFonts w:cs="Arial"/>
          <w:szCs w:val="24"/>
        </w:rPr>
        <w:t xml:space="preserve"> služeb, mí</w:t>
      </w:r>
      <w:r>
        <w:rPr>
          <w:rFonts w:cs="Arial"/>
          <w:szCs w:val="24"/>
        </w:rPr>
        <w:t>ry</w:t>
      </w:r>
      <w:r w:rsidRPr="00197D35">
        <w:rPr>
          <w:rFonts w:cs="Arial"/>
          <w:szCs w:val="24"/>
        </w:rPr>
        <w:t xml:space="preserve"> poskytované podpory uživatelům, příspěv</w:t>
      </w:r>
      <w:r>
        <w:rPr>
          <w:rFonts w:cs="Arial"/>
          <w:szCs w:val="24"/>
        </w:rPr>
        <w:t>ků</w:t>
      </w:r>
      <w:r w:rsidRPr="00197D35">
        <w:rPr>
          <w:rFonts w:cs="Arial"/>
          <w:szCs w:val="24"/>
        </w:rPr>
        <w:t xml:space="preserve"> na péči, počtu odchodů uživatelů z původního zařízení</w:t>
      </w:r>
      <w:r>
        <w:rPr>
          <w:rFonts w:cs="Arial"/>
          <w:szCs w:val="24"/>
        </w:rPr>
        <w:t xml:space="preserve"> a</w:t>
      </w:r>
      <w:r w:rsidRPr="00197D35">
        <w:rPr>
          <w:rFonts w:cs="Arial"/>
          <w:szCs w:val="24"/>
        </w:rPr>
        <w:t xml:space="preserve"> personálního zabezpečení, zejména počtu a struktu</w:t>
      </w:r>
      <w:r>
        <w:rPr>
          <w:rFonts w:cs="Arial"/>
          <w:szCs w:val="24"/>
        </w:rPr>
        <w:t>ry</w:t>
      </w:r>
      <w:r w:rsidRPr="00197D35">
        <w:rPr>
          <w:rFonts w:cs="Arial"/>
          <w:szCs w:val="24"/>
        </w:rPr>
        <w:t xml:space="preserve"> pracovníků, výš</w:t>
      </w:r>
      <w:r>
        <w:rPr>
          <w:rFonts w:cs="Arial"/>
          <w:szCs w:val="24"/>
        </w:rPr>
        <w:t>e</w:t>
      </w:r>
      <w:r w:rsidRPr="00197D35">
        <w:rPr>
          <w:rFonts w:cs="Arial"/>
          <w:szCs w:val="24"/>
        </w:rPr>
        <w:t xml:space="preserve"> úvazků apod.</w:t>
      </w:r>
    </w:p>
    <w:p w14:paraId="0FF0EE1F" w14:textId="6E37F597" w:rsidR="00FA3020" w:rsidRDefault="0002245A" w:rsidP="00FA302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Zařízení sbírala data každý rok, některé roky i 2x (k polovině roku a ke konci roku). V níže uvedeném budeme vycházet zejména z prvního a posledního sběru v daném zařízení. Některá zařízení byla zapojena do sběru už i v předchozím projektu MPSV Podpora transformace sociálních služeb, proto budou využita i starší data, která lépe </w:t>
      </w:r>
      <w:r w:rsidR="00AF2681">
        <w:rPr>
          <w:rFonts w:cs="Arial"/>
          <w:szCs w:val="24"/>
        </w:rPr>
        <w:t>odráží</w:t>
      </w:r>
      <w:r w:rsidR="008A6F6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celkový proces přechodu od péče ústavní na podporu poskytovanou v komunitě.</w:t>
      </w:r>
      <w:r w:rsidR="00514B13">
        <w:rPr>
          <w:rFonts w:cs="Arial"/>
          <w:szCs w:val="24"/>
        </w:rPr>
        <w:t xml:space="preserve"> Poslední data byla sbírána k polovině roku 2015.</w:t>
      </w:r>
    </w:p>
    <w:p w14:paraId="32B2D044" w14:textId="77777777" w:rsidR="00514B13" w:rsidRDefault="00514B13" w:rsidP="00FA3020">
      <w:pPr>
        <w:jc w:val="both"/>
        <w:rPr>
          <w:rFonts w:cs="Arial"/>
          <w:szCs w:val="24"/>
        </w:rPr>
      </w:pPr>
    </w:p>
    <w:p w14:paraId="145122CD" w14:textId="100CC403" w:rsidR="0002245A" w:rsidRDefault="0005092B" w:rsidP="00FA3020">
      <w:pPr>
        <w:pStyle w:val="Nadpis2"/>
        <w:rPr>
          <w:i/>
          <w:sz w:val="22"/>
          <w:szCs w:val="22"/>
        </w:rPr>
      </w:pPr>
      <w:bookmarkStart w:id="8" w:name="_Toc445449328"/>
      <w:r>
        <w:rPr>
          <w:i/>
          <w:sz w:val="22"/>
          <w:szCs w:val="22"/>
        </w:rPr>
        <w:t>Sociální</w:t>
      </w:r>
      <w:r w:rsidR="00FA3020" w:rsidRPr="00FA3020">
        <w:rPr>
          <w:i/>
          <w:sz w:val="22"/>
          <w:szCs w:val="22"/>
        </w:rPr>
        <w:t xml:space="preserve"> služby</w:t>
      </w:r>
      <w:bookmarkEnd w:id="8"/>
    </w:p>
    <w:p w14:paraId="19BF9D27" w14:textId="77777777" w:rsidR="00FA3020" w:rsidRDefault="00FA3020" w:rsidP="00FA3020"/>
    <w:p w14:paraId="03BF8588" w14:textId="73D59A90" w:rsidR="00FA3020" w:rsidRDefault="00514B13" w:rsidP="00514B13">
      <w:pPr>
        <w:jc w:val="both"/>
      </w:pPr>
      <w:r>
        <w:t xml:space="preserve">Zapojená zařízení sledovala druhy služeb, které měla zaregistrované. Data ukazují počáteční stav u všech zařízení </w:t>
      </w:r>
      <w:r w:rsidR="00675640">
        <w:t>–</w:t>
      </w:r>
      <w:r>
        <w:t xml:space="preserve"> </w:t>
      </w:r>
      <w:r w:rsidR="00675640">
        <w:t xml:space="preserve">u </w:t>
      </w:r>
      <w:r>
        <w:t>6 zařízení to bylo v roce 2011 a u 1 zařízení v roce 2013. Poslední sběr dat proběhl v polovině roku 2015.</w:t>
      </w:r>
    </w:p>
    <w:p w14:paraId="08EBC4C7" w14:textId="5D5E3A32" w:rsidR="00514B13" w:rsidRDefault="00514B13" w:rsidP="00514B13">
      <w:pPr>
        <w:jc w:val="both"/>
      </w:pPr>
      <w:r>
        <w:t xml:space="preserve">Z grafu </w:t>
      </w:r>
      <w:r w:rsidR="00774ABD">
        <w:t xml:space="preserve">č. 1 </w:t>
      </w:r>
      <w:r>
        <w:t xml:space="preserve">je zřetelné, že došlo k významnému přehodnocení potřeb uživatelů a změně struktury služeb – zejména od domova pro osoby se zdravotním postižením (DOZP) k chráněnému bydlení (CHB). U DOZP se kapacita snížila o 113 lůžek, u CHB se zvýšila o 70 lůžek. Mírně se zvedla i kapacita odlehčovacích služeb v pobytové formě (celkem 6 nových míst). Z níže uvedeného je zřejmé, že uživatelé přecházeli i jinam než </w:t>
      </w:r>
      <w:r w:rsidR="00675640">
        <w:t xml:space="preserve">do </w:t>
      </w:r>
      <w:r>
        <w:t>pobytových sociálních služeb. Zřetelný je i nárůst u ambulantních služeb: sociálně terapeutická dílna, denní stacionář, sociálně aktivizační služby pro seniory a osoby se zdravotním postižením. Celkově došlo k navýšení o 85 míst. Tyto služby mohou sloužit nejen lidem z původního ústavního zařízení, ale i dalším lidem z okolí nově poskytované služby.</w:t>
      </w:r>
    </w:p>
    <w:p w14:paraId="40D4E391" w14:textId="73D1FCA6" w:rsidR="0005435D" w:rsidRDefault="0005435D" w:rsidP="00514B13">
      <w:pPr>
        <w:jc w:val="both"/>
      </w:pPr>
      <w:r>
        <w:t>Otázkou ovšem je, zda a jaký vliv měly tyto změny v druzích služeb na kvalitu života lidí s postižením, kteří je využívají. Tuto otázku se pokusíme částečně osvětlit v dalším přehledu změn, které se ve službách udály. Byť se jedná o kvantitativní vyčíslení, jistě z něj bude možné vyčíst, že dochází k zajištění většího soukromí lidem s postižením, jak ukazují následující grafy.</w:t>
      </w:r>
    </w:p>
    <w:p w14:paraId="045DA39E" w14:textId="175A93FB" w:rsidR="00514B13" w:rsidRDefault="00514B13" w:rsidP="00774ABD">
      <w:pPr>
        <w:keepNext/>
        <w:spacing w:after="0"/>
      </w:pPr>
      <w:r>
        <w:lastRenderedPageBreak/>
        <w:t>Graf č. 1</w:t>
      </w:r>
    </w:p>
    <w:p w14:paraId="721E453C" w14:textId="7444DBF8" w:rsidR="00514B13" w:rsidRDefault="00514B13" w:rsidP="00FA3020">
      <w:r>
        <w:rPr>
          <w:noProof/>
          <w:lang w:eastAsia="cs-CZ"/>
        </w:rPr>
        <w:drawing>
          <wp:inline distT="0" distB="0" distL="0" distR="0" wp14:anchorId="200392A7" wp14:editId="46F137AB">
            <wp:extent cx="5637125" cy="2743200"/>
            <wp:effectExtent l="0" t="0" r="20955" b="1905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1CE7661B" w14:textId="64978F0E" w:rsidR="00774ABD" w:rsidRDefault="00986BDD" w:rsidP="008B511C">
      <w:pPr>
        <w:jc w:val="both"/>
      </w:pPr>
      <w:r>
        <w:t xml:space="preserve">Jedním z ukazatelů zlepšení kvality života v pobytových službách je změna počtu uživatelů na pokoji. V prvním sběru bylo v 7 sledovaných zařízeních pouze 74 uživatelů v jednolůžkových pokojích. V posledním sběru jich pak bylo 178. Zcela </w:t>
      </w:r>
      <w:r w:rsidR="0041314A">
        <w:t xml:space="preserve">vymizely </w:t>
      </w:r>
      <w:r>
        <w:t>6 a 7lůžkové pokoje (tedy 2 šestilůžkové a 1 sedmilůžkový), snížil se i počet 5lůžkových pokojů (o 2 ze 3) a 4lůžkových pokojů</w:t>
      </w:r>
      <w:r w:rsidR="00ED2BB2">
        <w:t xml:space="preserve"> (o 15 z 16). U třílůžkových pokojů došlo také k poklesu, a to o polovinu (19 pokojů). Ani v původní kapacitě ani v té vykazované v polovině roku 2015 nebyly kapacity </w:t>
      </w:r>
      <w:r w:rsidR="008B511C">
        <w:t>všech</w:t>
      </w:r>
      <w:r w:rsidR="00ED2BB2">
        <w:t xml:space="preserve"> pokojů zcela naplněny</w:t>
      </w:r>
      <w:r w:rsidR="008B511C">
        <w:t>. Proto mohou čísla v grafu vyznívat nejasně (nejsou dělitelná počtem lůžek na pokoji).</w:t>
      </w:r>
    </w:p>
    <w:p w14:paraId="2A188665" w14:textId="4ACD75C7" w:rsidR="0005435D" w:rsidRDefault="0005435D" w:rsidP="0005435D">
      <w:pPr>
        <w:keepNext/>
        <w:spacing w:after="0"/>
      </w:pPr>
      <w:r>
        <w:t>Graf č. 2</w:t>
      </w:r>
    </w:p>
    <w:p w14:paraId="7C268E2F" w14:textId="42822671" w:rsidR="00774ABD" w:rsidRDefault="00B140AC" w:rsidP="00FA3020">
      <w:r>
        <w:rPr>
          <w:noProof/>
          <w:lang w:eastAsia="cs-CZ"/>
        </w:rPr>
        <w:drawing>
          <wp:inline distT="0" distB="0" distL="0" distR="0" wp14:anchorId="160991A6" wp14:editId="760DCAA1">
            <wp:extent cx="5760720" cy="3312751"/>
            <wp:effectExtent l="0" t="0" r="11430" b="2159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55B8E88A" w14:textId="77777777" w:rsidR="0005435D" w:rsidRDefault="0005435D" w:rsidP="00FA3020"/>
    <w:p w14:paraId="04044593" w14:textId="2557F8F5" w:rsidR="00774ABD" w:rsidRDefault="00F57251" w:rsidP="00F57251">
      <w:pPr>
        <w:jc w:val="both"/>
      </w:pPr>
      <w:r>
        <w:lastRenderedPageBreak/>
        <w:t xml:space="preserve">Počet uživatelů, se kterými musí </w:t>
      </w:r>
      <w:r w:rsidR="00D13726">
        <w:t>uživatelé</w:t>
      </w:r>
      <w:r>
        <w:t xml:space="preserve"> sdílet koupelnu, se také změnil. Pouze několik málo uživatelů má koupelnu samo pro sebe – </w:t>
      </w:r>
      <w:r w:rsidR="00D13726">
        <w:t>v roce 2015 se jednalo</w:t>
      </w:r>
      <w:r>
        <w:t xml:space="preserve"> o 6 uživatelů. Nejvíce jich sdílí koupelnu s dalšími 3 až 5 uživateli – je </w:t>
      </w:r>
      <w:r w:rsidR="00294626">
        <w:t>to ce</w:t>
      </w:r>
      <w:r w:rsidR="00536EB3">
        <w:t>l</w:t>
      </w:r>
      <w:r w:rsidR="00294626">
        <w:t>kem 221</w:t>
      </w:r>
      <w:r>
        <w:t xml:space="preserve"> uživatelů. Zcela </w:t>
      </w:r>
      <w:r w:rsidR="00536EB3">
        <w:t xml:space="preserve">zmizely </w:t>
      </w:r>
      <w:r>
        <w:t>koupelny pro 16 a více uživatelů a značně se snížil počet uživatelů, kteří sdílí koupelnu s 11 až 15 dalšími uživateli.</w:t>
      </w:r>
      <w:r w:rsidR="00294626">
        <w:t xml:space="preserve"> </w:t>
      </w:r>
    </w:p>
    <w:p w14:paraId="19E14C63" w14:textId="2AF0B3A0" w:rsidR="0005092B" w:rsidRDefault="0005454E" w:rsidP="00F57251">
      <w:pPr>
        <w:jc w:val="both"/>
      </w:pPr>
      <w:r>
        <w:t xml:space="preserve">Nejvíce </w:t>
      </w:r>
      <w:r w:rsidR="00D13726">
        <w:t>společně sdílených</w:t>
      </w:r>
      <w:r>
        <w:t xml:space="preserve"> koupel</w:t>
      </w:r>
      <w:r w:rsidR="00D13726">
        <w:t>e</w:t>
      </w:r>
      <w:r>
        <w:t>n byl</w:t>
      </w:r>
      <w:r w:rsidR="00D13726">
        <w:t>o</w:t>
      </w:r>
      <w:r>
        <w:t xml:space="preserve"> ve službách domov pro osoby se zdravotním postižením. </w:t>
      </w:r>
      <w:r w:rsidR="0005092B">
        <w:t>Při prvním sběru v zařízeních se j</w:t>
      </w:r>
      <w:r>
        <w:t>ednalo o koupelnu pro 26 uživatelů</w:t>
      </w:r>
      <w:r w:rsidR="004B1BDC">
        <w:t>.</w:t>
      </w:r>
      <w:r>
        <w:t xml:space="preserve"> </w:t>
      </w:r>
      <w:r w:rsidR="004B1BDC">
        <w:t>K</w:t>
      </w:r>
      <w:r>
        <w:t>oupelny pro 23 uživatelů  sdílel</w:t>
      </w:r>
      <w:r w:rsidR="004B1BDC">
        <w:t>i společně uživatelé DOPZ s</w:t>
      </w:r>
      <w:r>
        <w:t xml:space="preserve"> jedn</w:t>
      </w:r>
      <w:r w:rsidR="004B1BDC">
        <w:t>ím</w:t>
      </w:r>
      <w:r>
        <w:t xml:space="preserve"> uživatel chráněného bydlení. </w:t>
      </w:r>
    </w:p>
    <w:p w14:paraId="7D0918FB" w14:textId="48DF7D33" w:rsidR="0005092B" w:rsidRDefault="0005454E" w:rsidP="00F57251">
      <w:pPr>
        <w:jc w:val="both"/>
      </w:pPr>
      <w:r>
        <w:t xml:space="preserve">U chráněného bydlení </w:t>
      </w:r>
      <w:r w:rsidR="00700F4E">
        <w:t>sdílelo při prvním sběru v zařízeních nejvíce lidí koupelnu jen s dalším druhým uživatelem (30</w:t>
      </w:r>
      <w:r w:rsidR="0005092B">
        <w:t xml:space="preserve"> uživatelů</w:t>
      </w:r>
      <w:r w:rsidR="00700F4E">
        <w:t>) a pak s dalšími dvěma uživateli (25</w:t>
      </w:r>
      <w:r w:rsidR="0005092B">
        <w:t xml:space="preserve"> uživatelů</w:t>
      </w:r>
      <w:r w:rsidR="00700F4E">
        <w:t>). Protože se zvýšila kapacita chráněného bydlení</w:t>
      </w:r>
      <w:r w:rsidR="008828C9">
        <w:t>, zvýšil se i počet koupelen – žádný z lidí v chráněném bydlení už nevyužívá koupelnu s dalšími 23 či 7 uživateli. Nejvíce jich nově užívá koupelnu s dalšími 3 uživateli (jedná se o 52 osob), pak s dalším jedním člověkem (39 uživatelů) a s pěti uživateli (32 uživatelů). Průměr</w:t>
      </w:r>
      <w:r w:rsidR="0005092B">
        <w:t>, který byl při prvním sběru</w:t>
      </w:r>
      <w:r w:rsidR="008828C9">
        <w:t xml:space="preserve"> do 3 osob na koupelnu</w:t>
      </w:r>
      <w:r w:rsidR="0005092B">
        <w:t>, se</w:t>
      </w:r>
      <w:r w:rsidR="008828C9">
        <w:t xml:space="preserve"> ovšem příliš nezměnil</w:t>
      </w:r>
      <w:r w:rsidR="0005092B">
        <w:t xml:space="preserve"> (došlo k navýšení o 0,2 osoby na koupelnu)</w:t>
      </w:r>
      <w:r w:rsidR="008828C9">
        <w:t xml:space="preserve">. </w:t>
      </w:r>
    </w:p>
    <w:p w14:paraId="434BC01D" w14:textId="6F27BF50" w:rsidR="008828C9" w:rsidRDefault="008828C9" w:rsidP="00F57251">
      <w:pPr>
        <w:jc w:val="both"/>
      </w:pPr>
      <w:r>
        <w:t>U služeb domova pro osoby se zdravo</w:t>
      </w:r>
      <w:r w:rsidR="0005092B">
        <w:t>tním postižením je ovšem snížení průměru zřetelnější</w:t>
      </w:r>
      <w:r>
        <w:t xml:space="preserve"> – z původních cca 6 osob na koupelnu na průměrné 3,6 osob na koupelnu. </w:t>
      </w:r>
      <w:r w:rsidR="00D13726">
        <w:t xml:space="preserve">Je to i díky tomu, že nyní již neexistují koupelny pro více </w:t>
      </w:r>
      <w:r w:rsidR="00034CA9">
        <w:t xml:space="preserve">než </w:t>
      </w:r>
      <w:r w:rsidR="00D13726">
        <w:t>13 osob. Nejvíce koupelen je ve službách DOZP pro 6 lidí (74 lidí sdílí s</w:t>
      </w:r>
      <w:r w:rsidR="0005092B">
        <w:t> </w:t>
      </w:r>
      <w:r w:rsidR="00D13726">
        <w:t>dalšími 5 lidmi koupelnu), pak pro 3 lidi (59 lidí sdílí s dalšími 2 lidmi koupelnu) a pro 4 lidi (42 lidí sdílí koupelnu s dalšími 3 lidmi).</w:t>
      </w:r>
    </w:p>
    <w:p w14:paraId="24788131" w14:textId="4E2A1296" w:rsidR="00B140AC" w:rsidRDefault="00B140AC" w:rsidP="00B140AC">
      <w:pPr>
        <w:keepNext/>
        <w:spacing w:after="0"/>
      </w:pPr>
      <w:r>
        <w:t>Graf č. 3</w:t>
      </w:r>
    </w:p>
    <w:p w14:paraId="3E00F0AB" w14:textId="20B203A6" w:rsidR="00B140AC" w:rsidRDefault="00F57251" w:rsidP="00FA3020">
      <w:r>
        <w:rPr>
          <w:noProof/>
          <w:lang w:eastAsia="cs-CZ"/>
        </w:rPr>
        <w:drawing>
          <wp:inline distT="0" distB="0" distL="0" distR="0" wp14:anchorId="6842C202" wp14:editId="58291FC4">
            <wp:extent cx="5727560" cy="2532185"/>
            <wp:effectExtent l="0" t="0" r="26035" b="20955"/>
            <wp:docPr id="28" name="Graf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422BBEBC" w14:textId="77777777" w:rsidR="00B140AC" w:rsidRDefault="00B140AC" w:rsidP="00FA3020"/>
    <w:p w14:paraId="092BF4D4" w14:textId="1DB16CF8" w:rsidR="00F57251" w:rsidRDefault="00F13C95" w:rsidP="005F797F">
      <w:pPr>
        <w:jc w:val="both"/>
      </w:pPr>
      <w:r>
        <w:t>Graf č. 4 ukazuje změny v počtu uživatelů, kteří společně sdílejí WC</w:t>
      </w:r>
      <w:r w:rsidR="00957C7E">
        <w:t>. T</w:t>
      </w:r>
      <w:r w:rsidR="005F797F">
        <w:t>oaletu spolu nesdílelo v roce 2015 už</w:t>
      </w:r>
      <w:r w:rsidR="00957C7E">
        <w:t xml:space="preserve"> více než 10 uživatelů</w:t>
      </w:r>
      <w:r w:rsidR="00F60D83">
        <w:t xml:space="preserve"> v domovech pro osoby se zdravotním postižením a 6 uživatelů u chráněného bydlení</w:t>
      </w:r>
      <w:r w:rsidR="00957C7E">
        <w:t xml:space="preserve">, i když jich bylo </w:t>
      </w:r>
      <w:r w:rsidR="005F797F">
        <w:t xml:space="preserve">v prvním sběru </w:t>
      </w:r>
      <w:r w:rsidR="00957C7E">
        <w:t>až 14</w:t>
      </w:r>
      <w:r w:rsidR="00F60D83">
        <w:t xml:space="preserve"> u domova pro osoby se zdravotním postižením a 10 u chráněných bydlení</w:t>
      </w:r>
      <w:r w:rsidR="00957C7E">
        <w:t>.</w:t>
      </w:r>
      <w:r w:rsidR="005F797F">
        <w:t xml:space="preserve"> Nejsou zde tak výrazné rozdíly jako u sdílení koupelen, přesto je zde změna zřejmá, zejména u služeb domova pro osoby se zdravotním postižením. Zatímco u </w:t>
      </w:r>
      <w:r w:rsidR="005F797F">
        <w:lastRenderedPageBreak/>
        <w:t>chráněného bydlení nedošlo k výraznější změně v průměru využití WC uživateli, u domova pro osoby se zdravotním postižením došlo ke zlepšení o průměrně 2 uživatele na toaletu (původní průměr byl 4,8, oproti novému průměru ve výši 3 uživatelů na 1 WC).</w:t>
      </w:r>
      <w:r w:rsidR="00F60D83">
        <w:t xml:space="preserve"> </w:t>
      </w:r>
    </w:p>
    <w:p w14:paraId="38ED86CA" w14:textId="1CB0530B" w:rsidR="0005092B" w:rsidRDefault="00F13C95" w:rsidP="00F13C95">
      <w:pPr>
        <w:keepNext/>
        <w:spacing w:after="0"/>
      </w:pPr>
      <w:r>
        <w:t>Graf č. 4</w:t>
      </w:r>
    </w:p>
    <w:p w14:paraId="0B58B70C" w14:textId="0AF7EC68" w:rsidR="0005092B" w:rsidRDefault="00F13C95" w:rsidP="00FA3020">
      <w:r>
        <w:rPr>
          <w:noProof/>
          <w:lang w:eastAsia="cs-CZ"/>
        </w:rPr>
        <w:drawing>
          <wp:inline distT="0" distB="0" distL="0" distR="0" wp14:anchorId="64350ABA" wp14:editId="2A7E82D9">
            <wp:extent cx="5747657" cy="2260879"/>
            <wp:effectExtent l="0" t="0" r="24765" b="25400"/>
            <wp:docPr id="30" name="Graf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6572FBA8" w14:textId="5D517CB1" w:rsidR="0005092B" w:rsidRDefault="00534484" w:rsidP="00FA3020">
      <w:r>
        <w:t xml:space="preserve"> </w:t>
      </w:r>
    </w:p>
    <w:p w14:paraId="404CCC96" w14:textId="4681C092" w:rsidR="00534484" w:rsidRDefault="00534484" w:rsidP="00C24BC7">
      <w:pPr>
        <w:pStyle w:val="Nadpis2"/>
        <w:rPr>
          <w:i/>
          <w:sz w:val="22"/>
          <w:szCs w:val="22"/>
        </w:rPr>
      </w:pPr>
      <w:bookmarkStart w:id="9" w:name="_Toc445449329"/>
      <w:r w:rsidRPr="00C24BC7">
        <w:rPr>
          <w:i/>
          <w:sz w:val="22"/>
          <w:szCs w:val="22"/>
        </w:rPr>
        <w:t>Uživatelé služeb</w:t>
      </w:r>
      <w:bookmarkEnd w:id="9"/>
    </w:p>
    <w:p w14:paraId="3E688731" w14:textId="77777777" w:rsidR="00C24BC7" w:rsidRPr="00C24BC7" w:rsidRDefault="00C24BC7" w:rsidP="00C24BC7"/>
    <w:p w14:paraId="6F053F5B" w14:textId="27B70CAE" w:rsidR="00DD696A" w:rsidRDefault="00DD696A" w:rsidP="00784C4E">
      <w:pPr>
        <w:jc w:val="both"/>
      </w:pPr>
      <w:r>
        <w:t xml:space="preserve">U uživatelů je možné sledovat několik charakteristik a jejich vývoj. Některé, jako jsou věk a </w:t>
      </w:r>
      <w:r w:rsidR="00EA31F7">
        <w:t>pohlaví</w:t>
      </w:r>
      <w:r>
        <w:t>, nejsou příliš zajímavé. U věku je to dáno zejména registrací služeb. Nejvýznamnější skupinou v DOZP i CHB jsou dospělí uživatelé od 27 do 64</w:t>
      </w:r>
      <w:r w:rsidR="004C2393">
        <w:t xml:space="preserve"> – v prvním sběru to bylo 85 % uživatelů, v posledním pak 79 %</w:t>
      </w:r>
      <w:r w:rsidR="00EA31F7">
        <w:t xml:space="preserve"> (viz grafy 5 a 6)</w:t>
      </w:r>
      <w:r w:rsidR="004C2393">
        <w:t>. V zařízeních nebyly zastoupeny děti a pouze v malé míře senioři nad 85 let (při prvním i posledním sběru pouze 2 uživatelé).</w:t>
      </w:r>
      <w:r w:rsidR="00784C4E">
        <w:t xml:space="preserve"> V tom není v zásadě rozdíl ani mezi CHB a DOZP.</w:t>
      </w:r>
    </w:p>
    <w:p w14:paraId="4A2B3715" w14:textId="45DBFA5C" w:rsidR="00CD1F4B" w:rsidRDefault="00CD1F4B" w:rsidP="00784C4E">
      <w:pPr>
        <w:jc w:val="both"/>
      </w:pPr>
      <w:r>
        <w:t>U pohlaví došlo také jen k drobným změnám, které nebyly v zásadě rozpoznatelné (až na úrovni desetiny procenta</w:t>
      </w:r>
      <w:r w:rsidR="00034CA9">
        <w:t>)</w:t>
      </w:r>
      <w:r>
        <w:t>. V chráněných bydleních je procentuálně zastoupeno více žen než mužů oproti DOZP. Přesto jsou muži v obou službách v převaze (57 % všech uživatelů jsou muži) – viz graf č. 7.</w:t>
      </w:r>
    </w:p>
    <w:p w14:paraId="0ADE2D4B" w14:textId="101B9BF5" w:rsidR="00784C4E" w:rsidRDefault="00784C4E" w:rsidP="00784C4E">
      <w:pPr>
        <w:keepNext/>
        <w:spacing w:after="0"/>
      </w:pPr>
      <w:r>
        <w:t>Graf č. 5</w:t>
      </w:r>
    </w:p>
    <w:p w14:paraId="105CD7C2" w14:textId="7664C7E7" w:rsidR="00784C4E" w:rsidRDefault="00784C4E" w:rsidP="00784C4E">
      <w:pPr>
        <w:jc w:val="both"/>
      </w:pPr>
      <w:r>
        <w:rPr>
          <w:noProof/>
          <w:lang w:eastAsia="cs-CZ"/>
        </w:rPr>
        <w:drawing>
          <wp:inline distT="0" distB="0" distL="0" distR="0" wp14:anchorId="1355E1DB" wp14:editId="2C67580F">
            <wp:extent cx="5727560" cy="2371411"/>
            <wp:effectExtent l="0" t="0" r="26035" b="10160"/>
            <wp:docPr id="31" name="Graf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072D53FF" w14:textId="054BC51B" w:rsidR="0005092B" w:rsidRDefault="00EA31F7" w:rsidP="00EA31F7">
      <w:pPr>
        <w:keepNext/>
        <w:spacing w:after="0"/>
      </w:pPr>
      <w:r>
        <w:lastRenderedPageBreak/>
        <w:t>Graf č. 6</w:t>
      </w:r>
    </w:p>
    <w:p w14:paraId="0E3AD20F" w14:textId="1EB23D5A" w:rsidR="00784C4E" w:rsidRDefault="00EA31F7" w:rsidP="00784C4E">
      <w:pPr>
        <w:jc w:val="both"/>
      </w:pPr>
      <w:r>
        <w:rPr>
          <w:noProof/>
          <w:lang w:eastAsia="cs-CZ"/>
        </w:rPr>
        <w:drawing>
          <wp:inline distT="0" distB="0" distL="0" distR="0" wp14:anchorId="36E8738C" wp14:editId="00BD78C3">
            <wp:extent cx="5727560" cy="2361363"/>
            <wp:effectExtent l="0" t="0" r="26035" b="20320"/>
            <wp:docPr id="32" name="Graf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01994AF1" w14:textId="69F418C1" w:rsidR="00784C4E" w:rsidRDefault="00CD1F4B" w:rsidP="00CD1F4B">
      <w:pPr>
        <w:keepNext/>
        <w:spacing w:after="0"/>
      </w:pPr>
      <w:r>
        <w:t>Graf č. 7</w:t>
      </w:r>
    </w:p>
    <w:p w14:paraId="70DCA995" w14:textId="7CA44BDB" w:rsidR="00784C4E" w:rsidRDefault="00CD1F4B" w:rsidP="00784C4E">
      <w:pPr>
        <w:jc w:val="both"/>
      </w:pPr>
      <w:r>
        <w:rPr>
          <w:noProof/>
          <w:lang w:eastAsia="cs-CZ"/>
        </w:rPr>
        <w:drawing>
          <wp:inline distT="0" distB="0" distL="0" distR="0" wp14:anchorId="45FF05E5" wp14:editId="4AEED237">
            <wp:extent cx="5727560" cy="2260879"/>
            <wp:effectExtent l="0" t="0" r="26035" b="25400"/>
            <wp:docPr id="33" name="Graf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14:paraId="3FDD809A" w14:textId="719DBF79" w:rsidR="00CD1F4B" w:rsidRDefault="003D7664" w:rsidP="00784C4E">
      <w:pPr>
        <w:jc w:val="both"/>
      </w:pPr>
      <w:r>
        <w:t xml:space="preserve">Na dalším grafu je už zřejmá profilace dle druhů služeb. V DOZP je, dle předpokladu, více lidí s vyšším příspěvkem na péči. Především jsou to lidé se IV. stupněm příspěvku na péči, pak s III. a nakonec s II. </w:t>
      </w:r>
      <w:r w:rsidR="006C2F4A">
        <w:t>I když i</w:t>
      </w:r>
      <w:r>
        <w:t xml:space="preserve"> po změně některých služeb zůstávají lidé s I. stupněm příspěvku na péči v DOZP, </w:t>
      </w:r>
      <w:r w:rsidR="006C2F4A">
        <w:t xml:space="preserve">je to pouze 4,35 % ze všech uživatelů DOZP. U CHB lidé s I. stupněm příspěvku na péči tvoří po změně 20,69 %. Více je v CHB lidí s II. </w:t>
      </w:r>
      <w:r w:rsidR="00034CA9">
        <w:t>s</w:t>
      </w:r>
      <w:r w:rsidR="006C2F4A">
        <w:t xml:space="preserve">tupněm příspěvku na péči (52,87 %) a se III. příspěvkem na péči (22,41 %). Zcela nezanedbatelně, ale </w:t>
      </w:r>
      <w:r w:rsidR="00034CA9">
        <w:t xml:space="preserve">přesto i </w:t>
      </w:r>
      <w:r w:rsidR="006C2F4A">
        <w:t>CHB využívají i lidé se IV. příspěvkem na péči (4,02 %).</w:t>
      </w:r>
    </w:p>
    <w:p w14:paraId="57D2A61D" w14:textId="20C47702" w:rsidR="003D7664" w:rsidRDefault="003D7664" w:rsidP="003D7664">
      <w:pPr>
        <w:keepNext/>
        <w:spacing w:after="0"/>
      </w:pPr>
      <w:r>
        <w:lastRenderedPageBreak/>
        <w:t>Graf č. 8</w:t>
      </w:r>
    </w:p>
    <w:p w14:paraId="7571307C" w14:textId="6F1680C1" w:rsidR="00CD1F4B" w:rsidRDefault="003D7664" w:rsidP="00784C4E">
      <w:pPr>
        <w:jc w:val="both"/>
      </w:pPr>
      <w:r>
        <w:rPr>
          <w:noProof/>
          <w:lang w:eastAsia="cs-CZ"/>
        </w:rPr>
        <w:drawing>
          <wp:inline distT="0" distB="0" distL="0" distR="0" wp14:anchorId="5D8AC614" wp14:editId="12B37F2B">
            <wp:extent cx="5737608" cy="2552281"/>
            <wp:effectExtent l="0" t="0" r="15875" b="19685"/>
            <wp:docPr id="34" name="Graf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14:paraId="4D565BE8" w14:textId="1DD5E0C2" w:rsidR="00A72BFB" w:rsidRDefault="00A72BFB" w:rsidP="00784C4E">
      <w:pPr>
        <w:jc w:val="both"/>
      </w:pPr>
      <w:r>
        <w:t>Obdobně je na tom i rozdělení uživatelů dle nezbytné míry podpory hodnocení dle doporučeného postupu MPSV č. 1/2010. U DOZP jsou významnou skupinou lidé s potřebou vysoké míry podpory – při prvním sběru to bylo 66 % a při posledním 67 %, oproti necelému procentu v CHB při prvním sběru a 3 % při sběru posledním. V DOZP je na druhém místě počet lidí se střední mírou podpory (26 % v prvním sběru a 27 % v posledním sběru) a na posledním pak nízká míra podpory. U některých uživatelů hodnocení nebylo provedeno (v posledním sběru jsou to zpravidla noví uživatelé, kteří v té době ještě nebyli zhodnoceni). U CHB jsou počty lidí s potřebou nízké a střední míry podpory vyrovnané v obou sběrech. Tady se objevuje významný počet lidí</w:t>
      </w:r>
      <w:r w:rsidR="00C24BC7">
        <w:t>, kteří nebyli</w:t>
      </w:r>
      <w:r>
        <w:t xml:space="preserve"> vyhodnoceni, což může mít ještě značný vliv na poměry uživatelů s různou potřebou míry podpory.</w:t>
      </w:r>
    </w:p>
    <w:p w14:paraId="3B11059E" w14:textId="4A3AA705" w:rsidR="00A72BFB" w:rsidRDefault="00A72BFB" w:rsidP="00A72BFB">
      <w:pPr>
        <w:keepNext/>
        <w:spacing w:after="0"/>
      </w:pPr>
      <w:r>
        <w:t>Graf č. 9</w:t>
      </w:r>
    </w:p>
    <w:p w14:paraId="125E0D7F" w14:textId="1D16E1DD" w:rsidR="00CD1F4B" w:rsidRDefault="006C2F4A" w:rsidP="00784C4E">
      <w:pPr>
        <w:jc w:val="both"/>
      </w:pPr>
      <w:r>
        <w:rPr>
          <w:noProof/>
          <w:lang w:eastAsia="cs-CZ"/>
        </w:rPr>
        <w:drawing>
          <wp:inline distT="0" distB="0" distL="0" distR="0" wp14:anchorId="11E38F37" wp14:editId="2B6DDBD2">
            <wp:extent cx="5737608" cy="2622620"/>
            <wp:effectExtent l="0" t="0" r="15875" b="25400"/>
            <wp:docPr id="35" name="Graf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14:paraId="0AA50DBA" w14:textId="3CD6EF79" w:rsidR="00C24BC7" w:rsidRDefault="0091108E" w:rsidP="00784C4E">
      <w:pPr>
        <w:jc w:val="both"/>
      </w:pPr>
      <w:r>
        <w:t>Zajímavý byl i vývoj způsobilosti k právním úkonům v letech 2011 a 2013. Pro zajištění porovnatelnosti byla využita data pouze za 6 zařízení (u sedmého začal sběr dat až v roce 2013). Došlo ke snížení lidí zbavených způsobilosti</w:t>
      </w:r>
      <w:r w:rsidR="008F5DD1">
        <w:t xml:space="preserve"> k právním úkonům</w:t>
      </w:r>
      <w:r>
        <w:t xml:space="preserve"> o 10 %</w:t>
      </w:r>
      <w:r w:rsidR="008F5DD1">
        <w:t>, a to ve prospěch omezení způsobilosti k právním úkonům. V CHB je oproti DOZP</w:t>
      </w:r>
      <w:r w:rsidR="008F5DD1" w:rsidRPr="008F5DD1">
        <w:t xml:space="preserve"> </w:t>
      </w:r>
      <w:r w:rsidR="008F5DD1">
        <w:t xml:space="preserve">zastoupeno procentuálně méně lidí zbavených </w:t>
      </w:r>
      <w:r w:rsidR="008F5DD1">
        <w:lastRenderedPageBreak/>
        <w:t xml:space="preserve">způsobilosti k právním úkonům, byť je jich stále více </w:t>
      </w:r>
      <w:r w:rsidR="00EA3079">
        <w:t xml:space="preserve">než </w:t>
      </w:r>
      <w:r w:rsidR="008F5DD1">
        <w:t xml:space="preserve">50 %. Otázkou je, zda zhodnocení omezení či zbavení způsobilosti k právním úkonům odpovídá schopnostem lidí ve sledovaných sociálních službách, nebo zda jsou tyto sociální služby i v režimu chráněného bydlení dostatečně </w:t>
      </w:r>
      <w:r w:rsidR="004B1BDC">
        <w:t xml:space="preserve">nastaveny k </w:t>
      </w:r>
      <w:r w:rsidR="008F5DD1">
        <w:t>podpoř</w:t>
      </w:r>
      <w:r w:rsidR="004B1BDC">
        <w:t>e</w:t>
      </w:r>
      <w:r w:rsidR="008F5DD1">
        <w:t xml:space="preserve"> lidi zbavených způsobilosti k právním úkonům.</w:t>
      </w:r>
    </w:p>
    <w:p w14:paraId="30196C74" w14:textId="1E23E357" w:rsidR="009945B5" w:rsidRDefault="009945B5" w:rsidP="009945B5">
      <w:pPr>
        <w:keepNext/>
        <w:spacing w:after="0"/>
      </w:pPr>
      <w:r>
        <w:t>Graf č. 10</w:t>
      </w:r>
    </w:p>
    <w:p w14:paraId="6EABD849" w14:textId="15A12C28" w:rsidR="009945B5" w:rsidRDefault="009945B5" w:rsidP="00784C4E">
      <w:pPr>
        <w:jc w:val="both"/>
      </w:pPr>
      <w:r>
        <w:rPr>
          <w:noProof/>
          <w:lang w:eastAsia="cs-CZ"/>
        </w:rPr>
        <w:drawing>
          <wp:inline distT="0" distB="0" distL="0" distR="0" wp14:anchorId="6327B559" wp14:editId="2D9A2E0E">
            <wp:extent cx="5707463" cy="2743200"/>
            <wp:effectExtent l="0" t="0" r="26670" b="19050"/>
            <wp:docPr id="37" name="Graf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14:paraId="4F1A97DC" w14:textId="01A4B28D" w:rsidR="009945B5" w:rsidRDefault="009945B5" w:rsidP="009945B5">
      <w:pPr>
        <w:keepNext/>
        <w:spacing w:after="0"/>
      </w:pPr>
      <w:r>
        <w:t>Graf č. 11</w:t>
      </w:r>
    </w:p>
    <w:p w14:paraId="6B63B870" w14:textId="710A550B" w:rsidR="009945B5" w:rsidRDefault="009945B5" w:rsidP="00784C4E">
      <w:pPr>
        <w:jc w:val="both"/>
      </w:pPr>
      <w:r>
        <w:rPr>
          <w:noProof/>
          <w:lang w:eastAsia="cs-CZ"/>
        </w:rPr>
        <w:drawing>
          <wp:inline distT="0" distB="0" distL="0" distR="0" wp14:anchorId="346D712C" wp14:editId="1BD19712">
            <wp:extent cx="5707463" cy="2743200"/>
            <wp:effectExtent l="0" t="0" r="26670" b="19050"/>
            <wp:docPr id="39" name="Graf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14:paraId="790C4F57" w14:textId="636D6F2A" w:rsidR="00C24BC7" w:rsidRDefault="008F5DD1" w:rsidP="00784C4E">
      <w:pPr>
        <w:jc w:val="both"/>
      </w:pPr>
      <w:r>
        <w:t>S tímto souviselo i sledování toho, kdo je opatrovníkem</w:t>
      </w:r>
      <w:r w:rsidR="00354A16">
        <w:t xml:space="preserve"> těchto lidí (opět vyhodnocováno pouze v 6 zařízeních sledovaných i v roce 2011). Téměř stále konstantní je procento uživatelů, jejichž opatrovníkem je někdo z rodiny. Toto se mění mírně jak v letech, tak mezi CHB a DOZP.</w:t>
      </w:r>
    </w:p>
    <w:p w14:paraId="353C3FEE" w14:textId="1CADD89D" w:rsidR="00354A16" w:rsidRDefault="00354A16" w:rsidP="00784C4E">
      <w:pPr>
        <w:jc w:val="both"/>
      </w:pPr>
      <w:r>
        <w:t>V CHB i DOPZ se značně snížil počet lidí, jejichž opatrovníkem je někdo jiný. U DOZP se počet těchto lidí sníži</w:t>
      </w:r>
      <w:r w:rsidR="009404E0">
        <w:t>l</w:t>
      </w:r>
      <w:r>
        <w:t xml:space="preserve"> ze 110 na 16 u </w:t>
      </w:r>
      <w:r w:rsidR="009404E0">
        <w:t>CHB</w:t>
      </w:r>
      <w:r>
        <w:t xml:space="preserve"> z 39 na 23. </w:t>
      </w:r>
      <w:r w:rsidR="00316581">
        <w:t xml:space="preserve">14 uživatelů služby mělo ještě v roce 2013 jako opatrovníka danou sociální službu, což je oproti původním 122 uživatelům </w:t>
      </w:r>
      <w:r w:rsidR="009404E0">
        <w:t xml:space="preserve">v roce 2011 </w:t>
      </w:r>
      <w:r w:rsidR="00316581">
        <w:t xml:space="preserve">značný posun. Mezi jiné </w:t>
      </w:r>
      <w:r w:rsidR="00316581">
        <w:lastRenderedPageBreak/>
        <w:t xml:space="preserve">osoby </w:t>
      </w:r>
      <w:r w:rsidR="009404E0">
        <w:t xml:space="preserve">dále </w:t>
      </w:r>
      <w:r w:rsidR="00316581">
        <w:t xml:space="preserve">patří například sousedi, </w:t>
      </w:r>
      <w:r w:rsidR="00A04CE9">
        <w:t xml:space="preserve">bývalí </w:t>
      </w:r>
      <w:r w:rsidR="00316581">
        <w:t>zaměstnanci, dobrovolníci, rodinný příslušník zaměstnankyně a další.</w:t>
      </w:r>
      <w:r w:rsidR="009404E0">
        <w:t xml:space="preserve"> </w:t>
      </w:r>
    </w:p>
    <w:p w14:paraId="0B6CF849" w14:textId="17E14613" w:rsidR="009404E0" w:rsidRDefault="009404E0" w:rsidP="009404E0">
      <w:pPr>
        <w:keepNext/>
        <w:spacing w:after="0"/>
      </w:pPr>
      <w:r>
        <w:t>Graf č. 12</w:t>
      </w:r>
    </w:p>
    <w:p w14:paraId="4C824738" w14:textId="1E3DFC52" w:rsidR="009404E0" w:rsidRDefault="009404E0" w:rsidP="00784C4E">
      <w:pPr>
        <w:jc w:val="both"/>
      </w:pPr>
      <w:r>
        <w:rPr>
          <w:noProof/>
          <w:lang w:eastAsia="cs-CZ"/>
        </w:rPr>
        <w:drawing>
          <wp:inline distT="0" distB="0" distL="0" distR="0" wp14:anchorId="4B058B83" wp14:editId="7F7BD4C1">
            <wp:extent cx="5707463" cy="2833635"/>
            <wp:effectExtent l="0" t="0" r="26670" b="24130"/>
            <wp:docPr id="40" name="Graf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14:paraId="3C93829B" w14:textId="385559C4" w:rsidR="006C625F" w:rsidRDefault="00546D2C" w:rsidP="00784C4E">
      <w:pPr>
        <w:jc w:val="both"/>
      </w:pPr>
      <w:r>
        <w:t>Po přijetí nového občanského zákonu, který byl účinný od roku 2014, došlo ke změně přístupu i terminologie v oblasti způsobilosti k právním úkonům, respektive svéprávnosti. Nově už nemohl být žádný člověk</w:t>
      </w:r>
      <w:r w:rsidR="006C625F">
        <w:t xml:space="preserve"> nesvéprávný (tedy plně zbavený způsobilosti k právním úkonům). Proto došlo k tak značnému nárůstu u lidí omezených ve svéprávnosti (tedy částečně způsobilých k právním úkonům). Do tohoto sběru už je navíc započítáno sedmé zařízení (tzn. nárůst u DOZP o 37 uživatelů v roce 2014 a 34 v roce 2015, u CHB o 10 v roce 2014, respektive 15 uživatelů v roce 2015)</w:t>
      </w:r>
    </w:p>
    <w:p w14:paraId="50622615" w14:textId="10A8FCAD" w:rsidR="001C0CDA" w:rsidRDefault="001C0CDA" w:rsidP="001C0CDA">
      <w:pPr>
        <w:keepNext/>
        <w:spacing w:after="0"/>
      </w:pPr>
      <w:r>
        <w:t>Graf č. 13</w:t>
      </w:r>
    </w:p>
    <w:p w14:paraId="52B421BF" w14:textId="59B00B5D" w:rsidR="009404E0" w:rsidRDefault="00546D2C" w:rsidP="00784C4E">
      <w:pPr>
        <w:jc w:val="both"/>
      </w:pPr>
      <w:r>
        <w:rPr>
          <w:noProof/>
          <w:lang w:eastAsia="cs-CZ"/>
        </w:rPr>
        <w:drawing>
          <wp:inline distT="0" distB="0" distL="0" distR="0" wp14:anchorId="51B0CC4C" wp14:editId="12D620A9">
            <wp:extent cx="5707463" cy="2130251"/>
            <wp:effectExtent l="0" t="0" r="26670" b="22860"/>
            <wp:docPr id="41" name="Graf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14:paraId="5D581C92" w14:textId="5B87D75B" w:rsidR="00936C04" w:rsidRDefault="001C0CDA" w:rsidP="00784C4E">
      <w:pPr>
        <w:jc w:val="both"/>
      </w:pPr>
      <w:r>
        <w:t>Opatrovnictví</w:t>
      </w:r>
      <w:r w:rsidR="00DE6D03">
        <w:t xml:space="preserve"> se v</w:t>
      </w:r>
      <w:r>
        <w:t xml:space="preserve"> to</w:t>
      </w:r>
      <w:r w:rsidR="00DE6D03">
        <w:t>m</w:t>
      </w:r>
      <w:r>
        <w:t>to období</w:t>
      </w:r>
      <w:r w:rsidR="00936C04">
        <w:t xml:space="preserve"> </w:t>
      </w:r>
      <w:r w:rsidR="002376B3">
        <w:t>zástupců z řad</w:t>
      </w:r>
      <w:r w:rsidR="00936C04">
        <w:t xml:space="preserve"> rodinných příslušníku příliš nelišilo – šlo o 49 %. Procento opatrovníků, kter</w:t>
      </w:r>
      <w:r w:rsidR="000D2070">
        <w:t>ými byla obec, se lehce zvýšilo (cca o 3 %). Trend snížení počtu opatrovníků z řad zaměstnanců zařízení už dále moc nepokračoval.  Ke snížení došlo i u opatrovníků z řad služby (z jiných osob se jedná o 5 opatrovníků v</w:t>
      </w:r>
      <w:r w:rsidR="00FE472E">
        <w:t> </w:t>
      </w:r>
      <w:r w:rsidR="000D2070">
        <w:t>roce</w:t>
      </w:r>
      <w:r w:rsidR="00FE472E">
        <w:t xml:space="preserve"> 2014 i</w:t>
      </w:r>
      <w:r w:rsidR="000D2070">
        <w:t xml:space="preserve"> 2015) – dle doplňujících informací ze zařízení byla žádost o změnu podána v roce 2012.</w:t>
      </w:r>
    </w:p>
    <w:p w14:paraId="1EC0F5E0" w14:textId="3F45673C" w:rsidR="001C0CDA" w:rsidRDefault="001C0CDA" w:rsidP="001C0CDA">
      <w:pPr>
        <w:keepNext/>
        <w:spacing w:after="0"/>
      </w:pPr>
      <w:r>
        <w:lastRenderedPageBreak/>
        <w:t>Graf č. 14</w:t>
      </w:r>
    </w:p>
    <w:p w14:paraId="413CB212" w14:textId="71EC29BE" w:rsidR="001C0CDA" w:rsidRDefault="001C0CDA" w:rsidP="00784C4E">
      <w:pPr>
        <w:jc w:val="both"/>
      </w:pPr>
      <w:r>
        <w:rPr>
          <w:noProof/>
          <w:lang w:eastAsia="cs-CZ"/>
        </w:rPr>
        <w:drawing>
          <wp:inline distT="0" distB="0" distL="0" distR="0" wp14:anchorId="0C0A4C19" wp14:editId="58E3B3CE">
            <wp:extent cx="5777802" cy="2421653"/>
            <wp:effectExtent l="0" t="0" r="13970" b="17145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14:paraId="61BFFAE7" w14:textId="32F2694E" w:rsidR="001C0CDA" w:rsidRDefault="00DE6D03" w:rsidP="00784C4E">
      <w:pPr>
        <w:jc w:val="both"/>
      </w:pPr>
      <w:r>
        <w:t>Začlenění uživatelů do běžného života, a tím i posouzení kvality jejich života, je možné sledovat i na jejich zaměstnávání, a to jak uvnitř zařízení, tak zejména mimo zařízení. Zatímco většina lidí v DOZP nepracuje (při posledním sběru se jednalo o 97 %), v CHB nepracuje něco málo přes polovinu uživatelů (55 %).</w:t>
      </w:r>
      <w:r w:rsidR="008B5EA5">
        <w:t xml:space="preserve"> Předpokládáme, že je to přímo závislé na schopnostech a potřebné míře podpory uživatelů, i když rozhodující mohou být i další faktory (umístění zařízení, příležitost zaměstnání v daném regionu a další). K významnějším změnám v průběhu let ovšem nedošlo – u CHB o 9 uživatelů, u DOZP naopak počet poklesl o 15 uživatelů, kteří pracovali (zároveň došlo v DOZP o snížení</w:t>
      </w:r>
      <w:r w:rsidR="00155332">
        <w:t xml:space="preserve"> počtu sledovaného počtu uživatelů o 83 uživatelů)</w:t>
      </w:r>
      <w:r w:rsidR="008B5EA5">
        <w:t>.</w:t>
      </w:r>
    </w:p>
    <w:p w14:paraId="050165C9" w14:textId="4A5F6981" w:rsidR="00FE472E" w:rsidRDefault="00FE472E" w:rsidP="00FE472E">
      <w:pPr>
        <w:keepNext/>
        <w:spacing w:after="0"/>
      </w:pPr>
      <w:r>
        <w:t>Graf č. 15</w:t>
      </w:r>
    </w:p>
    <w:p w14:paraId="1D096568" w14:textId="6C211E73" w:rsidR="001C0CDA" w:rsidRDefault="00FE472E" w:rsidP="00784C4E">
      <w:pPr>
        <w:jc w:val="both"/>
      </w:pPr>
      <w:r>
        <w:rPr>
          <w:noProof/>
          <w:lang w:eastAsia="cs-CZ"/>
        </w:rPr>
        <w:drawing>
          <wp:inline distT="0" distB="0" distL="0" distR="0" wp14:anchorId="4D9A1FBB" wp14:editId="5A5B0F90">
            <wp:extent cx="5777802" cy="2743200"/>
            <wp:effectExtent l="0" t="0" r="13970" b="1905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14:paraId="0C84196E" w14:textId="77777777" w:rsidR="001C0CDA" w:rsidRDefault="001C0CDA" w:rsidP="00784C4E">
      <w:pPr>
        <w:jc w:val="both"/>
      </w:pPr>
    </w:p>
    <w:p w14:paraId="7F64E13D" w14:textId="51BC3C9C" w:rsidR="003D4627" w:rsidRDefault="003D4627" w:rsidP="002376B3">
      <w:pPr>
        <w:pStyle w:val="Nadpis2"/>
        <w:keepLines w:val="0"/>
        <w:rPr>
          <w:i/>
          <w:sz w:val="22"/>
          <w:szCs w:val="22"/>
        </w:rPr>
      </w:pPr>
      <w:bookmarkStart w:id="10" w:name="_Toc445449330"/>
      <w:r>
        <w:rPr>
          <w:i/>
          <w:sz w:val="22"/>
          <w:szCs w:val="22"/>
        </w:rPr>
        <w:lastRenderedPageBreak/>
        <w:t>Pracovníci ve</w:t>
      </w:r>
      <w:r w:rsidRPr="00C24BC7">
        <w:rPr>
          <w:i/>
          <w:sz w:val="22"/>
          <w:szCs w:val="22"/>
        </w:rPr>
        <w:t xml:space="preserve"> služb</w:t>
      </w:r>
      <w:r>
        <w:rPr>
          <w:i/>
          <w:sz w:val="22"/>
          <w:szCs w:val="22"/>
        </w:rPr>
        <w:t>ách</w:t>
      </w:r>
      <w:bookmarkEnd w:id="10"/>
    </w:p>
    <w:p w14:paraId="34F03D1A" w14:textId="77777777" w:rsidR="003D4627" w:rsidRDefault="003D4627" w:rsidP="002376B3">
      <w:pPr>
        <w:keepNext/>
        <w:jc w:val="both"/>
      </w:pPr>
    </w:p>
    <w:p w14:paraId="213FF3AE" w14:textId="6034B6B9" w:rsidR="003D4627" w:rsidRDefault="003D4627" w:rsidP="00784C4E">
      <w:pPr>
        <w:jc w:val="both"/>
      </w:pPr>
      <w:r>
        <w:t>Ve službách DOZP došlo ve službách oproti prvnímu sběru dat k posunu směrem ke zvýšení poměru pracovníků v přímé péči oproti pracovníkům ostatním (technický a administrativní personál a vedoucí pracovníci)</w:t>
      </w:r>
      <w:r w:rsidR="00E43D89">
        <w:t xml:space="preserve"> – pracovníků v přímé péči je oproti prvnímu sběru dat v zařízeních o 10 % více. Celkový počet zaměstnanců zůstal v DOZP v zásadě stejný (došlo ke snížení o 0,36 úvazku, tedy na 384,31). Tzn. nedošlo ke snižování pracovních míst, pouze k jejich restrukturalizaci. V přímé péči došlo ke zvýšení pracovníků v sociálních službách (o 14 %) a ke snížení všeobecných sester (o 10 %) a u sociálních pracovníků (o 1</w:t>
      </w:r>
      <w:r w:rsidR="00E43D89">
        <w:rPr>
          <w:b/>
        </w:rPr>
        <w:t> </w:t>
      </w:r>
      <w:r w:rsidR="00E43D89">
        <w:t>%).</w:t>
      </w:r>
    </w:p>
    <w:p w14:paraId="3D6E0B62" w14:textId="558D1A8A" w:rsidR="003D4627" w:rsidRDefault="003D4627" w:rsidP="003D4627">
      <w:pPr>
        <w:keepNext/>
        <w:spacing w:after="0"/>
      </w:pPr>
      <w:r>
        <w:t>Graf č. 16</w:t>
      </w:r>
    </w:p>
    <w:p w14:paraId="41B778DB" w14:textId="7065358A" w:rsidR="003D4627" w:rsidRDefault="003D4627" w:rsidP="00784C4E">
      <w:pPr>
        <w:jc w:val="both"/>
      </w:pPr>
      <w:r>
        <w:rPr>
          <w:noProof/>
          <w:lang w:eastAsia="cs-CZ"/>
        </w:rPr>
        <w:drawing>
          <wp:inline distT="0" distB="0" distL="0" distR="0" wp14:anchorId="75C3E8F7" wp14:editId="1C286F01">
            <wp:extent cx="5697415" cy="3959051"/>
            <wp:effectExtent l="0" t="0" r="17780" b="22860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14:paraId="085DB534" w14:textId="751E749B" w:rsidR="00155332" w:rsidRDefault="002376B3" w:rsidP="00784C4E">
      <w:pPr>
        <w:jc w:val="both"/>
      </w:pPr>
      <w:r>
        <w:t>Pokud k výše uvedenému přičteme pracovníky v CHB, pak došlo k celkovému navýšení pracovníků o</w:t>
      </w:r>
      <w:r>
        <w:rPr>
          <w:b/>
        </w:rPr>
        <w:t> </w:t>
      </w:r>
      <w:r>
        <w:t xml:space="preserve">60,91 pracovníků. V CHB došlo totiž k navýšení o 61,27 úvazku, tedy na 127,98 úvazku. Pro připomenutí - došlo k navýšení kapacity o 70 lůžek. </w:t>
      </w:r>
      <w:r w:rsidR="004F2639">
        <w:t xml:space="preserve">Navýšily </w:t>
      </w:r>
      <w:r>
        <w:t>se všechny pracovní pozice (viz graf 17). Oproti DOZP nejsou zastoupeny pozice všeobecných sester ani fyzioterapeuti. Oproti DOZP je výraznější rozdíl také v poměru technických a administrativních pracovníků (u DOZP tvořili v posledním sběru 19 %, u CHB 7 %), ovšem je zde procentuálně více vedoucích pracovníků (u DOZP 6 %, u CHB 8 %) a sociálních pracovníků (v DOZP 2 %, v CHB 7 %). I když v CHB došlo procentuálně ke snížení počtu pracovníků v sociálních službách (z 80 % na 77 %)</w:t>
      </w:r>
      <w:r w:rsidR="00267319">
        <w:t xml:space="preserve"> je to stále více než v DOZP (v posledním sběru dat to bylo 67 %).</w:t>
      </w:r>
      <w:r w:rsidR="00600F77">
        <w:t xml:space="preserve"> Přitom rozdíl v počtu uživatelů na jednoho pracovníka v sociálních službách není velký – jedná se o 1,3 uživatele u DOZP a 1,8 uživatele v CHB. V DOZP i CHB došlo ke </w:t>
      </w:r>
      <w:r w:rsidR="00600F77">
        <w:lastRenderedPageBreak/>
        <w:t xml:space="preserve">zlepšení poměru uživatelů na jednoho pracovníka – v DOZP to </w:t>
      </w:r>
      <w:r w:rsidR="004F2639">
        <w:t xml:space="preserve">byli </w:t>
      </w:r>
      <w:r w:rsidR="00600F77">
        <w:t>při prvním sběru 2 uživatelé na pracovníka a u CHB 2,3 uživatele na jednoho pracovníka.</w:t>
      </w:r>
    </w:p>
    <w:p w14:paraId="0A2F8580" w14:textId="2268CF5F" w:rsidR="002376B3" w:rsidRDefault="002376B3" w:rsidP="002376B3">
      <w:pPr>
        <w:keepNext/>
        <w:spacing w:after="0"/>
      </w:pPr>
      <w:r>
        <w:t>Graf č. 17</w:t>
      </w:r>
    </w:p>
    <w:p w14:paraId="0DFD516D" w14:textId="73E9D153" w:rsidR="00155332" w:rsidRDefault="002376B3" w:rsidP="00784C4E">
      <w:pPr>
        <w:jc w:val="both"/>
      </w:pPr>
      <w:r>
        <w:rPr>
          <w:noProof/>
          <w:lang w:eastAsia="cs-CZ"/>
        </w:rPr>
        <w:drawing>
          <wp:inline distT="0" distB="0" distL="0" distR="0" wp14:anchorId="6C1049F2" wp14:editId="22A5F68F">
            <wp:extent cx="5807947" cy="4360985"/>
            <wp:effectExtent l="0" t="0" r="21590" b="20955"/>
            <wp:docPr id="27" name="Graf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14:paraId="4A298BA7" w14:textId="2C6C4E67" w:rsidR="00155332" w:rsidRPr="00FA3020" w:rsidRDefault="00600F77" w:rsidP="00784C4E">
      <w:pPr>
        <w:jc w:val="both"/>
      </w:pPr>
      <w:r>
        <w:t xml:space="preserve">Je nutné také uvést, že vedle pracovních smluv a dohod o pracovní činnosti, které jsou započteny ve dvou výše uvedených grafech, zařízení využívají i DPP. U nich využili </w:t>
      </w:r>
      <w:r w:rsidR="00A53729">
        <w:t xml:space="preserve">v DOZP </w:t>
      </w:r>
      <w:r>
        <w:t>v prvním sběru</w:t>
      </w:r>
      <w:r w:rsidR="00A53729">
        <w:t xml:space="preserve"> pro technické a administrativní pracovníky a v menší míře i pro vedoucí pracovníky 2967,6 hodin a pro pracovníky v přímé péči 3300,65 hodiny. U CHB to pak bylo 828 hodin u technických a administrativních pracovníků a 1575,5 hodiny u pracovníků v přímé péči. 4 zařízení využívají i podpory dobrovolníků, a to ve všech sběrech. Nejv</w:t>
      </w:r>
      <w:r w:rsidR="004B1BDC">
        <w:t>ětší počet dobrovolníků byl 4 osoby. Tento počet byl v jediném zařízení</w:t>
      </w:r>
      <w:r w:rsidR="00A53729">
        <w:t>. Počet hodin, které dobrovolníci odpracují, nebyl sledován.</w:t>
      </w:r>
    </w:p>
    <w:sectPr w:rsidR="00155332" w:rsidRPr="00FA3020" w:rsidSect="008A590A">
      <w:headerReference w:type="default" r:id="rId53"/>
      <w:footerReference w:type="default" r:id="rId5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EA599" w14:textId="77777777" w:rsidR="006043A5" w:rsidRDefault="006043A5" w:rsidP="00487372">
      <w:pPr>
        <w:spacing w:after="0" w:line="240" w:lineRule="auto"/>
      </w:pPr>
      <w:r>
        <w:separator/>
      </w:r>
    </w:p>
  </w:endnote>
  <w:endnote w:type="continuationSeparator" w:id="0">
    <w:p w14:paraId="1103EA62" w14:textId="77777777" w:rsidR="006043A5" w:rsidRDefault="006043A5" w:rsidP="00487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6074032"/>
      <w:docPartObj>
        <w:docPartGallery w:val="Page Numbers (Bottom of Page)"/>
        <w:docPartUnique/>
      </w:docPartObj>
    </w:sdtPr>
    <w:sdtEndPr/>
    <w:sdtContent>
      <w:p w14:paraId="06AF98FB" w14:textId="77777777" w:rsidR="00514B13" w:rsidRDefault="00514B13" w:rsidP="001515CF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ab/>
        </w:r>
        <w:r>
          <w:tab/>
          <w:t>Hodnocení dle znaků a vodítek deinstitucionalizace 2013-2015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1A9E3" w14:textId="1DCA68E5" w:rsidR="00514B13" w:rsidRDefault="00514B13">
    <w:pPr>
      <w:pStyle w:val="Zpat"/>
    </w:pPr>
  </w:p>
  <w:p w14:paraId="76CF6D8E" w14:textId="77777777" w:rsidR="00514B13" w:rsidRDefault="00514B1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180565"/>
      <w:docPartObj>
        <w:docPartGallery w:val="Page Numbers (Bottom of Page)"/>
        <w:docPartUnique/>
      </w:docPartObj>
    </w:sdtPr>
    <w:sdtEndPr/>
    <w:sdtContent>
      <w:p w14:paraId="6958A09F" w14:textId="77777777" w:rsidR="00514B13" w:rsidRDefault="00514B13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F35">
          <w:rPr>
            <w:noProof/>
          </w:rPr>
          <w:t>22</w:t>
        </w:r>
        <w:r>
          <w:fldChar w:fldCharType="end"/>
        </w:r>
      </w:p>
    </w:sdtContent>
  </w:sdt>
  <w:p w14:paraId="609F6BC5" w14:textId="77777777" w:rsidR="00514B13" w:rsidRDefault="00514B13" w:rsidP="008A590A">
    <w:pPr>
      <w:spacing w:after="0"/>
      <w:jc w:val="right"/>
    </w:pPr>
    <w:r w:rsidRPr="008A590A">
      <w:t xml:space="preserve">Mapování průběhu transformace v organizacích zapojených </w:t>
    </w:r>
  </w:p>
  <w:p w14:paraId="36D4F551" w14:textId="3489C09C" w:rsidR="00514B13" w:rsidRDefault="00514B13" w:rsidP="008A590A">
    <w:pPr>
      <w:spacing w:after="0"/>
      <w:jc w:val="right"/>
      <w:rPr>
        <w:b/>
        <w:sz w:val="40"/>
        <w:szCs w:val="40"/>
      </w:rPr>
    </w:pPr>
    <w:r>
      <w:t>v</w:t>
    </w:r>
    <w:r w:rsidRPr="008A590A">
      <w:t> projektu Transformace sociálních služeb</w:t>
    </w:r>
    <w:r>
      <w:t xml:space="preserve"> </w:t>
    </w:r>
    <w:r w:rsidRPr="008A590A">
      <w:t>2013-2015</w:t>
    </w:r>
  </w:p>
  <w:p w14:paraId="0816DD57" w14:textId="77777777" w:rsidR="00514B13" w:rsidRDefault="00514B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9844C" w14:textId="77777777" w:rsidR="006043A5" w:rsidRDefault="006043A5" w:rsidP="00487372">
      <w:pPr>
        <w:spacing w:after="0" w:line="240" w:lineRule="auto"/>
      </w:pPr>
      <w:r>
        <w:separator/>
      </w:r>
    </w:p>
  </w:footnote>
  <w:footnote w:type="continuationSeparator" w:id="0">
    <w:p w14:paraId="0E0F3399" w14:textId="77777777" w:rsidR="006043A5" w:rsidRDefault="006043A5" w:rsidP="00487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66B84" w14:textId="77777777" w:rsidR="00514B13" w:rsidRDefault="00514B13">
    <w:pPr>
      <w:pStyle w:val="Zhlav"/>
    </w:pPr>
    <w:r>
      <w:rPr>
        <w:noProof/>
        <w:lang w:eastAsia="cs-CZ"/>
      </w:rPr>
      <w:drawing>
        <wp:inline distT="0" distB="0" distL="0" distR="0" wp14:anchorId="166736B4" wp14:editId="10AA6804">
          <wp:extent cx="5756745" cy="586970"/>
          <wp:effectExtent l="0" t="0" r="0" b="3810"/>
          <wp:docPr id="9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7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89CEC" w14:textId="36568961" w:rsidR="00514B13" w:rsidRDefault="00514B1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D6F0A" w14:textId="30E12874" w:rsidR="00514B13" w:rsidRDefault="00514B1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23E7"/>
    <w:multiLevelType w:val="hybridMultilevel"/>
    <w:tmpl w:val="98E289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E4869"/>
    <w:multiLevelType w:val="hybridMultilevel"/>
    <w:tmpl w:val="BC8029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706AC"/>
    <w:multiLevelType w:val="hybridMultilevel"/>
    <w:tmpl w:val="28245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E1"/>
    <w:rsid w:val="00001E69"/>
    <w:rsid w:val="0002245A"/>
    <w:rsid w:val="00034CA9"/>
    <w:rsid w:val="0005092B"/>
    <w:rsid w:val="0005435D"/>
    <w:rsid w:val="0005454E"/>
    <w:rsid w:val="000567E1"/>
    <w:rsid w:val="000800AB"/>
    <w:rsid w:val="00084807"/>
    <w:rsid w:val="000965F3"/>
    <w:rsid w:val="000968AA"/>
    <w:rsid w:val="000B1B34"/>
    <w:rsid w:val="000D2070"/>
    <w:rsid w:val="001464B9"/>
    <w:rsid w:val="001515CF"/>
    <w:rsid w:val="00155332"/>
    <w:rsid w:val="00172991"/>
    <w:rsid w:val="001C0CDA"/>
    <w:rsid w:val="001C25A3"/>
    <w:rsid w:val="001F61C2"/>
    <w:rsid w:val="002173A2"/>
    <w:rsid w:val="00223917"/>
    <w:rsid w:val="00235131"/>
    <w:rsid w:val="002376B3"/>
    <w:rsid w:val="00237D1D"/>
    <w:rsid w:val="00267319"/>
    <w:rsid w:val="00294626"/>
    <w:rsid w:val="002C7366"/>
    <w:rsid w:val="00316581"/>
    <w:rsid w:val="00324C20"/>
    <w:rsid w:val="00324F35"/>
    <w:rsid w:val="00337A94"/>
    <w:rsid w:val="00350567"/>
    <w:rsid w:val="00354A16"/>
    <w:rsid w:val="00360807"/>
    <w:rsid w:val="00386631"/>
    <w:rsid w:val="003911DB"/>
    <w:rsid w:val="003C43D9"/>
    <w:rsid w:val="003D4627"/>
    <w:rsid w:val="003D7664"/>
    <w:rsid w:val="003E7AE6"/>
    <w:rsid w:val="0041314A"/>
    <w:rsid w:val="00432BF5"/>
    <w:rsid w:val="00451CE7"/>
    <w:rsid w:val="004553C0"/>
    <w:rsid w:val="00456AC4"/>
    <w:rsid w:val="00483064"/>
    <w:rsid w:val="00487372"/>
    <w:rsid w:val="004B1BDC"/>
    <w:rsid w:val="004C2393"/>
    <w:rsid w:val="004C49F7"/>
    <w:rsid w:val="004C4F84"/>
    <w:rsid w:val="004F2639"/>
    <w:rsid w:val="0051270D"/>
    <w:rsid w:val="00514B13"/>
    <w:rsid w:val="00534484"/>
    <w:rsid w:val="00536EB3"/>
    <w:rsid w:val="00541184"/>
    <w:rsid w:val="00546D2C"/>
    <w:rsid w:val="005612A3"/>
    <w:rsid w:val="005C0C1D"/>
    <w:rsid w:val="005E7028"/>
    <w:rsid w:val="005F797F"/>
    <w:rsid w:val="00600F77"/>
    <w:rsid w:val="006043A5"/>
    <w:rsid w:val="00617D1B"/>
    <w:rsid w:val="00627204"/>
    <w:rsid w:val="00630B48"/>
    <w:rsid w:val="00653F62"/>
    <w:rsid w:val="00675640"/>
    <w:rsid w:val="006762AA"/>
    <w:rsid w:val="006A2148"/>
    <w:rsid w:val="006A300B"/>
    <w:rsid w:val="006A53DD"/>
    <w:rsid w:val="006C2F4A"/>
    <w:rsid w:val="006C625F"/>
    <w:rsid w:val="00700F4E"/>
    <w:rsid w:val="0071188A"/>
    <w:rsid w:val="00717447"/>
    <w:rsid w:val="007548BA"/>
    <w:rsid w:val="007625C1"/>
    <w:rsid w:val="007655C2"/>
    <w:rsid w:val="00774ABD"/>
    <w:rsid w:val="0078000E"/>
    <w:rsid w:val="00784C4E"/>
    <w:rsid w:val="00795261"/>
    <w:rsid w:val="007A2209"/>
    <w:rsid w:val="007D056A"/>
    <w:rsid w:val="00813FDB"/>
    <w:rsid w:val="008163EA"/>
    <w:rsid w:val="0084418F"/>
    <w:rsid w:val="0085693D"/>
    <w:rsid w:val="00861C9E"/>
    <w:rsid w:val="008828C9"/>
    <w:rsid w:val="008A590A"/>
    <w:rsid w:val="008A6F6A"/>
    <w:rsid w:val="008B511C"/>
    <w:rsid w:val="008B5EA5"/>
    <w:rsid w:val="008C4999"/>
    <w:rsid w:val="008D459D"/>
    <w:rsid w:val="008F1A1E"/>
    <w:rsid w:val="008F5DD1"/>
    <w:rsid w:val="0091108E"/>
    <w:rsid w:val="00936C04"/>
    <w:rsid w:val="009404E0"/>
    <w:rsid w:val="00957C7E"/>
    <w:rsid w:val="00984215"/>
    <w:rsid w:val="00986BDD"/>
    <w:rsid w:val="009945B5"/>
    <w:rsid w:val="0099778A"/>
    <w:rsid w:val="009A5236"/>
    <w:rsid w:val="009B7CF4"/>
    <w:rsid w:val="009C2164"/>
    <w:rsid w:val="00A04CE9"/>
    <w:rsid w:val="00A066C9"/>
    <w:rsid w:val="00A21D99"/>
    <w:rsid w:val="00A37D1D"/>
    <w:rsid w:val="00A501F3"/>
    <w:rsid w:val="00A53729"/>
    <w:rsid w:val="00A72BFB"/>
    <w:rsid w:val="00A745A6"/>
    <w:rsid w:val="00AC6FA5"/>
    <w:rsid w:val="00AE35DB"/>
    <w:rsid w:val="00AE74E8"/>
    <w:rsid w:val="00AF2681"/>
    <w:rsid w:val="00B0354C"/>
    <w:rsid w:val="00B055E1"/>
    <w:rsid w:val="00B140AC"/>
    <w:rsid w:val="00B244D7"/>
    <w:rsid w:val="00B4668E"/>
    <w:rsid w:val="00B6185D"/>
    <w:rsid w:val="00B76A15"/>
    <w:rsid w:val="00B96AE2"/>
    <w:rsid w:val="00BC5D1F"/>
    <w:rsid w:val="00C12CEB"/>
    <w:rsid w:val="00C24BC7"/>
    <w:rsid w:val="00C5241B"/>
    <w:rsid w:val="00C63379"/>
    <w:rsid w:val="00C72D65"/>
    <w:rsid w:val="00CB1EBA"/>
    <w:rsid w:val="00CC23C1"/>
    <w:rsid w:val="00CD1F4B"/>
    <w:rsid w:val="00CE6670"/>
    <w:rsid w:val="00CF2B5E"/>
    <w:rsid w:val="00D13726"/>
    <w:rsid w:val="00D245CD"/>
    <w:rsid w:val="00D92556"/>
    <w:rsid w:val="00DC200A"/>
    <w:rsid w:val="00DD696A"/>
    <w:rsid w:val="00DE6D03"/>
    <w:rsid w:val="00E32827"/>
    <w:rsid w:val="00E43D89"/>
    <w:rsid w:val="00E86527"/>
    <w:rsid w:val="00E92198"/>
    <w:rsid w:val="00E95E37"/>
    <w:rsid w:val="00EA3079"/>
    <w:rsid w:val="00EA31F7"/>
    <w:rsid w:val="00EA71C5"/>
    <w:rsid w:val="00EA7F00"/>
    <w:rsid w:val="00EB4A16"/>
    <w:rsid w:val="00ED2BB2"/>
    <w:rsid w:val="00EF66EE"/>
    <w:rsid w:val="00F12F84"/>
    <w:rsid w:val="00F13C95"/>
    <w:rsid w:val="00F57251"/>
    <w:rsid w:val="00F60D83"/>
    <w:rsid w:val="00F72EEC"/>
    <w:rsid w:val="00FA3020"/>
    <w:rsid w:val="00FA65ED"/>
    <w:rsid w:val="00FC0F24"/>
    <w:rsid w:val="00FC69B4"/>
    <w:rsid w:val="00FD6781"/>
    <w:rsid w:val="00FE472E"/>
    <w:rsid w:val="00FF1C9D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CF6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A59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A59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A30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67E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67E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608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08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08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08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080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87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7372"/>
  </w:style>
  <w:style w:type="paragraph" w:styleId="Zpat">
    <w:name w:val="footer"/>
    <w:basedOn w:val="Normln"/>
    <w:link w:val="ZpatChar"/>
    <w:uiPriority w:val="99"/>
    <w:unhideWhenUsed/>
    <w:rsid w:val="00487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7372"/>
  </w:style>
  <w:style w:type="character" w:customStyle="1" w:styleId="Nadpis1Char">
    <w:name w:val="Nadpis 1 Char"/>
    <w:basedOn w:val="Standardnpsmoodstavce"/>
    <w:link w:val="Nadpis1"/>
    <w:uiPriority w:val="9"/>
    <w:rsid w:val="008A5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A590A"/>
    <w:pPr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A59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bsah1">
    <w:name w:val="toc 1"/>
    <w:basedOn w:val="Normln"/>
    <w:next w:val="Normln"/>
    <w:autoRedefine/>
    <w:uiPriority w:val="39"/>
    <w:unhideWhenUsed/>
    <w:rsid w:val="008A590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8A590A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8A590A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FA302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A59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A59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A30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67E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67E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608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08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08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08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080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87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7372"/>
  </w:style>
  <w:style w:type="paragraph" w:styleId="Zpat">
    <w:name w:val="footer"/>
    <w:basedOn w:val="Normln"/>
    <w:link w:val="ZpatChar"/>
    <w:uiPriority w:val="99"/>
    <w:unhideWhenUsed/>
    <w:rsid w:val="00487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7372"/>
  </w:style>
  <w:style w:type="character" w:customStyle="1" w:styleId="Nadpis1Char">
    <w:name w:val="Nadpis 1 Char"/>
    <w:basedOn w:val="Standardnpsmoodstavce"/>
    <w:link w:val="Nadpis1"/>
    <w:uiPriority w:val="9"/>
    <w:rsid w:val="008A5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A590A"/>
    <w:pPr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A59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bsah1">
    <w:name w:val="toc 1"/>
    <w:basedOn w:val="Normln"/>
    <w:next w:val="Normln"/>
    <w:autoRedefine/>
    <w:uiPriority w:val="39"/>
    <w:unhideWhenUsed/>
    <w:rsid w:val="008A590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8A590A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8A590A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FA302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6350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6308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4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6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15121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049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8298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image" Target="media/image4.emf"/><Relationship Id="rId26" Type="http://schemas.openxmlformats.org/officeDocument/2006/relationships/image" Target="media/image12.emf"/><Relationship Id="rId39" Type="http://schemas.openxmlformats.org/officeDocument/2006/relationships/chart" Target="charts/chart4.xml"/><Relationship Id="rId21" Type="http://schemas.openxmlformats.org/officeDocument/2006/relationships/image" Target="media/image7.emf"/><Relationship Id="rId34" Type="http://schemas.openxmlformats.org/officeDocument/2006/relationships/image" Target="media/image20.emf"/><Relationship Id="rId42" Type="http://schemas.openxmlformats.org/officeDocument/2006/relationships/chart" Target="charts/chart7.xml"/><Relationship Id="rId47" Type="http://schemas.openxmlformats.org/officeDocument/2006/relationships/chart" Target="charts/chart12.xml"/><Relationship Id="rId50" Type="http://schemas.openxmlformats.org/officeDocument/2006/relationships/chart" Target="charts/chart15.xml"/><Relationship Id="rId55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image" Target="media/image3.emf"/><Relationship Id="rId25" Type="http://schemas.openxmlformats.org/officeDocument/2006/relationships/image" Target="media/image11.emf"/><Relationship Id="rId33" Type="http://schemas.openxmlformats.org/officeDocument/2006/relationships/image" Target="media/image19.emf"/><Relationship Id="rId38" Type="http://schemas.openxmlformats.org/officeDocument/2006/relationships/chart" Target="charts/chart3.xml"/><Relationship Id="rId46" Type="http://schemas.openxmlformats.org/officeDocument/2006/relationships/chart" Target="charts/chart11.xml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image" Target="media/image6.emf"/><Relationship Id="rId29" Type="http://schemas.openxmlformats.org/officeDocument/2006/relationships/image" Target="media/image15.emf"/><Relationship Id="rId41" Type="http://schemas.openxmlformats.org/officeDocument/2006/relationships/chart" Target="charts/chart6.xml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0.emf"/><Relationship Id="rId32" Type="http://schemas.openxmlformats.org/officeDocument/2006/relationships/image" Target="media/image18.emf"/><Relationship Id="rId37" Type="http://schemas.openxmlformats.org/officeDocument/2006/relationships/chart" Target="charts/chart2.xml"/><Relationship Id="rId40" Type="http://schemas.openxmlformats.org/officeDocument/2006/relationships/chart" Target="charts/chart5.xml"/><Relationship Id="rId45" Type="http://schemas.openxmlformats.org/officeDocument/2006/relationships/chart" Target="charts/chart10.xml"/><Relationship Id="rId53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image" Target="media/image9.emf"/><Relationship Id="rId28" Type="http://schemas.openxmlformats.org/officeDocument/2006/relationships/image" Target="media/image14.emf"/><Relationship Id="rId36" Type="http://schemas.openxmlformats.org/officeDocument/2006/relationships/chart" Target="charts/chart1.xml"/><Relationship Id="rId49" Type="http://schemas.openxmlformats.org/officeDocument/2006/relationships/chart" Target="charts/chart14.xml"/><Relationship Id="rId10" Type="http://schemas.openxmlformats.org/officeDocument/2006/relationships/footnotes" Target="footnotes.xml"/><Relationship Id="rId19" Type="http://schemas.openxmlformats.org/officeDocument/2006/relationships/image" Target="media/image5.emf"/><Relationship Id="rId31" Type="http://schemas.openxmlformats.org/officeDocument/2006/relationships/image" Target="media/image17.emf"/><Relationship Id="rId44" Type="http://schemas.openxmlformats.org/officeDocument/2006/relationships/chart" Target="charts/chart9.xml"/><Relationship Id="rId52" Type="http://schemas.openxmlformats.org/officeDocument/2006/relationships/chart" Target="charts/chart17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image" Target="media/image8.emf"/><Relationship Id="rId27" Type="http://schemas.openxmlformats.org/officeDocument/2006/relationships/image" Target="media/image13.emf"/><Relationship Id="rId30" Type="http://schemas.openxmlformats.org/officeDocument/2006/relationships/image" Target="media/image16.emf"/><Relationship Id="rId35" Type="http://schemas.openxmlformats.org/officeDocument/2006/relationships/image" Target="media/image21.emf"/><Relationship Id="rId43" Type="http://schemas.openxmlformats.org/officeDocument/2006/relationships/chart" Target="charts/chart8.xml"/><Relationship Id="rId48" Type="http://schemas.openxmlformats.org/officeDocument/2006/relationships/chart" Target="charts/chart13.xml"/><Relationship Id="rId56" Type="http://schemas.openxmlformats.org/officeDocument/2006/relationships/theme" Target="theme/theme1.xml"/><Relationship Id="rId8" Type="http://schemas.openxmlformats.org/officeDocument/2006/relationships/settings" Target="settings.xml"/><Relationship Id="rId51" Type="http://schemas.openxmlformats.org/officeDocument/2006/relationships/chart" Target="charts/chart16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PSV\Desktop\VSD_2015_12_31\Druh%20slu&#382;by%20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PSV\Desktop\VSD_2015_12_31\VSD_s%20NZ%20IxIV%20sber%20dat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PSV\Desktop\VSD_2015_12_31\VSD_s%20NZ%20IxIV%20sber%20dat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PSV\Desktop\VSD_2015_12_31\VSD_s%20NZ%20IxIV%20sber%20dat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PSV\Desktop\VSD_2015_12_31\VSD_s%20NZ%20IxIV%20sber%20dat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PSV\Desktop\VSD_2015_12_31\VSD_s%20NZ%20IxIV%20sber%20dat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PSV\Desktop\VSD_2015_12_31\VSD_s%20NZ%20IxIV%20sber%20dat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PSV\Desktop\VSD_2015_12_31\Velk&#253;%20sb&#283;r%20dat%20-%20personal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PSV\Desktop\VSD_2015_12_31\Velk&#253;%20sb&#283;r%20dat%20-%20persona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PSV\Desktop\VSD_2015_12_31\VSD_s%20NZ%20IxIV%20sber%20da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PSV\Desktop\VSD_2015_12_31\VSD_s%20NZ%20IxIV%20sber%20dat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PSV\Desktop\VSD_2015_12_31\VSD_s%20NZ%20IxIV%20sber%20dat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PSV\Desktop\VSD_2015_12_31\VSD_s%20NZ%20IxIV%20sber%20dat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PSV\Desktop\VSD_2015_12_31\VSD_s%20NZ%20IxIV%20sber%20dat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PSV\Desktop\VSD_2015_12_31\VSD_s%20NZ%20IxIV%20sber%20dat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PSV\Desktop\VSD_2015_12_31\VSD_s%20NZ%20IxIV%20sber%20dat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PSV\Desktop\VSD_2015_12_31\VSD_s%20NZ%20IxIV%20sber%20da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600"/>
              <a:t>Kapacita</a:t>
            </a:r>
            <a:r>
              <a:rPr lang="cs-CZ" sz="1600" baseline="0"/>
              <a:t> služeb</a:t>
            </a:r>
            <a:endParaRPr lang="cs-CZ" sz="1600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191947697414283E-2"/>
          <c:y val="0.18348388743073782"/>
          <c:w val="0.90090046526676348"/>
          <c:h val="0.603314012831729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'služby ze zařízení'!$D$32</c:f>
              <c:strCache>
                <c:ptCount val="1"/>
                <c:pt idx="0">
                  <c:v>první sběr v zařízení</c:v>
                </c:pt>
              </c:strCache>
            </c:strRef>
          </c:tx>
          <c:invertIfNegative val="0"/>
          <c:cat>
            <c:strRef>
              <c:f>'služby ze zařízení'!$C$33:$C$38</c:f>
              <c:strCache>
                <c:ptCount val="6"/>
                <c:pt idx="0">
                  <c:v>DOZP</c:v>
                </c:pt>
                <c:pt idx="1">
                  <c:v>CHB</c:v>
                </c:pt>
                <c:pt idx="2">
                  <c:v>OS</c:v>
                </c:pt>
                <c:pt idx="3">
                  <c:v>STD</c:v>
                </c:pt>
                <c:pt idx="4">
                  <c:v>DS</c:v>
                </c:pt>
                <c:pt idx="5">
                  <c:v>SAS</c:v>
                </c:pt>
              </c:strCache>
            </c:strRef>
          </c:cat>
          <c:val>
            <c:numRef>
              <c:f>'služby ze zařízení'!$D$33:$D$38</c:f>
              <c:numCache>
                <c:formatCode>General</c:formatCode>
                <c:ptCount val="6"/>
                <c:pt idx="0">
                  <c:v>420</c:v>
                </c:pt>
                <c:pt idx="1">
                  <c:v>122</c:v>
                </c:pt>
                <c:pt idx="2">
                  <c:v>0</c:v>
                </c:pt>
                <c:pt idx="3">
                  <c:v>0</c:v>
                </c:pt>
                <c:pt idx="4">
                  <c:v>15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'služby ze zařízení'!$E$32</c:f>
              <c:strCache>
                <c:ptCount val="1"/>
                <c:pt idx="0">
                  <c:v>poslední sběr v zařízení</c:v>
                </c:pt>
              </c:strCache>
            </c:strRef>
          </c:tx>
          <c:invertIfNegative val="0"/>
          <c:cat>
            <c:strRef>
              <c:f>'služby ze zařízení'!$C$33:$C$38</c:f>
              <c:strCache>
                <c:ptCount val="6"/>
                <c:pt idx="0">
                  <c:v>DOZP</c:v>
                </c:pt>
                <c:pt idx="1">
                  <c:v>CHB</c:v>
                </c:pt>
                <c:pt idx="2">
                  <c:v>OS</c:v>
                </c:pt>
                <c:pt idx="3">
                  <c:v>STD</c:v>
                </c:pt>
                <c:pt idx="4">
                  <c:v>DS</c:v>
                </c:pt>
                <c:pt idx="5">
                  <c:v>SAS</c:v>
                </c:pt>
              </c:strCache>
            </c:strRef>
          </c:cat>
          <c:val>
            <c:numRef>
              <c:f>'služby ze zařízení'!$E$33:$E$38</c:f>
              <c:numCache>
                <c:formatCode>General</c:formatCode>
                <c:ptCount val="6"/>
                <c:pt idx="0" formatCode="0">
                  <c:v>307</c:v>
                </c:pt>
                <c:pt idx="1">
                  <c:v>192</c:v>
                </c:pt>
                <c:pt idx="2">
                  <c:v>6</c:v>
                </c:pt>
                <c:pt idx="3">
                  <c:v>45</c:v>
                </c:pt>
                <c:pt idx="4">
                  <c:v>45</c:v>
                </c:pt>
                <c:pt idx="5">
                  <c:v>10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6803968"/>
        <c:axId val="126805504"/>
        <c:axId val="0"/>
      </c:bar3DChart>
      <c:catAx>
        <c:axId val="126803968"/>
        <c:scaling>
          <c:orientation val="minMax"/>
        </c:scaling>
        <c:delete val="0"/>
        <c:axPos val="b"/>
        <c:majorTickMark val="out"/>
        <c:minorTickMark val="none"/>
        <c:tickLblPos val="nextTo"/>
        <c:crossAx val="126805504"/>
        <c:crosses val="autoZero"/>
        <c:auto val="1"/>
        <c:lblAlgn val="ctr"/>
        <c:lblOffset val="100"/>
        <c:noMultiLvlLbl val="0"/>
      </c:catAx>
      <c:valAx>
        <c:axId val="126805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8039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0632060494777285"/>
          <c:y val="0.86195392242636337"/>
          <c:w val="0.55251254602553868"/>
          <c:h val="0.1350269757946923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600"/>
              <a:t>Způsobilost</a:t>
            </a:r>
            <a:r>
              <a:rPr lang="cs-CZ" sz="1600" baseline="0"/>
              <a:t> k právním úkonům </a:t>
            </a:r>
          </a:p>
          <a:p>
            <a:pPr>
              <a:defRPr/>
            </a:pPr>
            <a:r>
              <a:rPr lang="cs-CZ" sz="1600" baseline="0"/>
              <a:t>(2011)</a:t>
            </a:r>
            <a:endParaRPr lang="cs-CZ" sz="1600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1"/>
            <c:bubble3D val="0"/>
            <c:spPr>
              <a:solidFill>
                <a:schemeClr val="accent3"/>
              </a:solidFill>
            </c:spPr>
          </c:dPt>
          <c:dPt>
            <c:idx val="2"/>
            <c:bubble3D val="0"/>
            <c:spPr>
              <a:solidFill>
                <a:schemeClr val="accent2"/>
              </a:solidFill>
            </c:spPr>
          </c:dPt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'Způsobilost '!$I$19:$I$21</c:f>
              <c:strCache>
                <c:ptCount val="3"/>
                <c:pt idx="0">
                  <c:v>omezený ve způsobilosti</c:v>
                </c:pt>
                <c:pt idx="1">
                  <c:v>plně způsobilý</c:v>
                </c:pt>
                <c:pt idx="2">
                  <c:v>zbavený způsobilosti</c:v>
                </c:pt>
              </c:strCache>
            </c:strRef>
          </c:cat>
          <c:val>
            <c:numRef>
              <c:f>'Způsobilost '!$J$19:$J$21</c:f>
              <c:numCache>
                <c:formatCode>General</c:formatCode>
                <c:ptCount val="3"/>
                <c:pt idx="0">
                  <c:v>72</c:v>
                </c:pt>
                <c:pt idx="1">
                  <c:v>37</c:v>
                </c:pt>
                <c:pt idx="2">
                  <c:v>370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600"/>
              <a:t>Způsobilost</a:t>
            </a:r>
            <a:r>
              <a:rPr lang="cs-CZ" sz="1600" baseline="0"/>
              <a:t> k právním úkonům </a:t>
            </a:r>
          </a:p>
          <a:p>
            <a:pPr>
              <a:defRPr/>
            </a:pPr>
            <a:r>
              <a:rPr lang="cs-CZ" sz="1600" baseline="0"/>
              <a:t>(2013)</a:t>
            </a:r>
            <a:endParaRPr lang="cs-CZ" sz="1600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1"/>
          <c:order val="1"/>
          <c:explosion val="25"/>
          <c:dPt>
            <c:idx val="1"/>
            <c:bubble3D val="0"/>
            <c:spPr>
              <a:solidFill>
                <a:srgbClr val="92D050"/>
              </a:solidFill>
            </c:spPr>
          </c:dPt>
          <c:dPt>
            <c:idx val="2"/>
            <c:bubble3D val="0"/>
            <c:spPr>
              <a:solidFill>
                <a:schemeClr val="accent2"/>
              </a:solidFill>
            </c:spPr>
          </c:dPt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'Způsobilost '!$F$19:$F$21</c:f>
              <c:strCache>
                <c:ptCount val="3"/>
                <c:pt idx="0">
                  <c:v>omezený ve způsobilosti</c:v>
                </c:pt>
                <c:pt idx="1">
                  <c:v>plně způsobilý</c:v>
                </c:pt>
                <c:pt idx="2">
                  <c:v>zbavený způsobilosti</c:v>
                </c:pt>
              </c:strCache>
            </c:strRef>
          </c:cat>
          <c:val>
            <c:numRef>
              <c:f>'Způsobilost '!$G$19:$G$21</c:f>
              <c:numCache>
                <c:formatCode>General</c:formatCode>
                <c:ptCount val="3"/>
                <c:pt idx="0">
                  <c:v>120</c:v>
                </c:pt>
                <c:pt idx="1">
                  <c:v>36</c:v>
                </c:pt>
                <c:pt idx="2">
                  <c:v>312</c:v>
                </c:pt>
              </c:numCache>
            </c:numRef>
          </c:val>
        </c:ser>
        <c:ser>
          <c:idx val="0"/>
          <c:order val="0"/>
          <c:explosion val="25"/>
          <c:dPt>
            <c:idx val="1"/>
            <c:bubble3D val="0"/>
            <c:spPr>
              <a:solidFill>
                <a:schemeClr val="accent3"/>
              </a:solidFill>
            </c:spPr>
          </c:dPt>
          <c:dPt>
            <c:idx val="2"/>
            <c:bubble3D val="0"/>
            <c:spPr>
              <a:solidFill>
                <a:schemeClr val="accent2"/>
              </a:solidFill>
            </c:spPr>
          </c:dPt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'Způsobilost '!$I$19:$I$21</c:f>
              <c:strCache>
                <c:ptCount val="3"/>
                <c:pt idx="0">
                  <c:v>omezený ve způsobilosti</c:v>
                </c:pt>
                <c:pt idx="1">
                  <c:v>plně způsobilý</c:v>
                </c:pt>
                <c:pt idx="2">
                  <c:v>zbavený způsobilosti</c:v>
                </c:pt>
              </c:strCache>
            </c:strRef>
          </c:cat>
          <c:val>
            <c:numRef>
              <c:f>'Způsobilost '!$J$19:$J$21</c:f>
              <c:numCache>
                <c:formatCode>General</c:formatCode>
                <c:ptCount val="3"/>
                <c:pt idx="0">
                  <c:v>72</c:v>
                </c:pt>
                <c:pt idx="1">
                  <c:v>37</c:v>
                </c:pt>
                <c:pt idx="2">
                  <c:v>370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600"/>
              <a:t>Opatrovnictví</a:t>
            </a:r>
            <a:r>
              <a:rPr lang="cs-CZ" sz="1600" baseline="0"/>
              <a:t> (2011-2013)</a:t>
            </a:r>
            <a:endParaRPr lang="cs-CZ" sz="1600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58585928971268"/>
          <c:y val="0.18348388743073782"/>
          <c:w val="0.87124706756788139"/>
          <c:h val="0.4765982260496580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'Opatrovnictví I'!$F$17</c:f>
              <c:strCache>
                <c:ptCount val="1"/>
                <c:pt idx="0">
                  <c:v>první sběr v zařízeních</c:v>
                </c:pt>
              </c:strCache>
            </c:strRef>
          </c:tx>
          <c:invertIfNegative val="0"/>
          <c:cat>
            <c:strRef>
              <c:f>'Opatrovnictví I'!$E$18:$E$21</c:f>
              <c:strCache>
                <c:ptCount val="4"/>
                <c:pt idx="0">
                  <c:v>opatrovníkem někdo jiný</c:v>
                </c:pt>
                <c:pt idx="1">
                  <c:v>opatrovníkem obec</c:v>
                </c:pt>
                <c:pt idx="2">
                  <c:v>opatrovníkem rodinný příslušník</c:v>
                </c:pt>
                <c:pt idx="3">
                  <c:v>opatrovníkem zaměstnanec poskytovatele</c:v>
                </c:pt>
              </c:strCache>
            </c:strRef>
          </c:cat>
          <c:val>
            <c:numRef>
              <c:f>'Opatrovnictví I'!$F$18:$F$21</c:f>
              <c:numCache>
                <c:formatCode>General</c:formatCode>
                <c:ptCount val="4"/>
                <c:pt idx="0">
                  <c:v>149</c:v>
                </c:pt>
                <c:pt idx="1">
                  <c:v>69</c:v>
                </c:pt>
                <c:pt idx="2">
                  <c:v>205</c:v>
                </c:pt>
                <c:pt idx="3">
                  <c:v>24</c:v>
                </c:pt>
              </c:numCache>
            </c:numRef>
          </c:val>
        </c:ser>
        <c:ser>
          <c:idx val="1"/>
          <c:order val="1"/>
          <c:tx>
            <c:strRef>
              <c:f>'Opatrovnictví I'!$G$17</c:f>
              <c:strCache>
                <c:ptCount val="1"/>
                <c:pt idx="0">
                  <c:v>poslední sběr v zařízeních</c:v>
                </c:pt>
              </c:strCache>
            </c:strRef>
          </c:tx>
          <c:invertIfNegative val="0"/>
          <c:cat>
            <c:strRef>
              <c:f>'Opatrovnictví I'!$E$18:$E$21</c:f>
              <c:strCache>
                <c:ptCount val="4"/>
                <c:pt idx="0">
                  <c:v>opatrovníkem někdo jiný</c:v>
                </c:pt>
                <c:pt idx="1">
                  <c:v>opatrovníkem obec</c:v>
                </c:pt>
                <c:pt idx="2">
                  <c:v>opatrovníkem rodinný příslušník</c:v>
                </c:pt>
                <c:pt idx="3">
                  <c:v>opatrovníkem zaměstnanec poskytovatele</c:v>
                </c:pt>
              </c:strCache>
            </c:strRef>
          </c:cat>
          <c:val>
            <c:numRef>
              <c:f>'Opatrovnictví I'!$G$18:$G$21</c:f>
              <c:numCache>
                <c:formatCode>General</c:formatCode>
                <c:ptCount val="4"/>
                <c:pt idx="0">
                  <c:v>39</c:v>
                </c:pt>
                <c:pt idx="1">
                  <c:v>171</c:v>
                </c:pt>
                <c:pt idx="2">
                  <c:v>207</c:v>
                </c:pt>
                <c:pt idx="3">
                  <c:v>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5648768"/>
        <c:axId val="95654656"/>
        <c:axId val="0"/>
      </c:bar3DChart>
      <c:catAx>
        <c:axId val="95648768"/>
        <c:scaling>
          <c:orientation val="minMax"/>
        </c:scaling>
        <c:delete val="0"/>
        <c:axPos val="b"/>
        <c:majorTickMark val="out"/>
        <c:minorTickMark val="none"/>
        <c:tickLblPos val="nextTo"/>
        <c:crossAx val="95654656"/>
        <c:crosses val="autoZero"/>
        <c:auto val="1"/>
        <c:lblAlgn val="ctr"/>
        <c:lblOffset val="100"/>
        <c:noMultiLvlLbl val="0"/>
      </c:catAx>
      <c:valAx>
        <c:axId val="95654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6487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4.4721784776902897E-2"/>
          <c:y val="0.87046337424960918"/>
          <c:w val="0.92750043744531929"/>
          <c:h val="8.3866561544607865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[VSD_s NZ IxIV sber dat.xlsx]Svéprávnost!Kontingenční tabulka 5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US" sz="1600"/>
              <a:t>Svépravnost</a:t>
            </a:r>
            <a:r>
              <a:rPr lang="cs-CZ" sz="1600"/>
              <a:t> (2014-2015)</a:t>
            </a:r>
            <a:endParaRPr lang="en-US" sz="1600"/>
          </a:p>
        </c:rich>
      </c:tx>
      <c:layout/>
      <c:overlay val="0"/>
    </c:title>
    <c:autoTitleDeleted val="0"/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cs-CZ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</c:dLbl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cs-CZ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</c:dLbl>
      </c:pivotFmt>
      <c:pivotFmt>
        <c:idx val="5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cs-CZ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</c:dLbl>
      </c:pivotFmt>
      <c:pivotFmt>
        <c:idx val="6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cs-CZ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</c:dLbl>
      </c:pivotFmt>
      <c:pivotFmt>
        <c:idx val="7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cs-CZ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</c:dLbl>
      </c:pivotFmt>
      <c:pivotFmt>
        <c:idx val="8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cs-CZ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Svéprávnost!$B$4:$B$5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Svéprávnost!$A$6:$A$8</c:f>
              <c:strCache>
                <c:ptCount val="2"/>
                <c:pt idx="0">
                  <c:v>omezená svéprávnost</c:v>
                </c:pt>
                <c:pt idx="1">
                  <c:v>plná svéprávnost</c:v>
                </c:pt>
              </c:strCache>
            </c:strRef>
          </c:cat>
          <c:val>
            <c:numRef>
              <c:f>Svéprávnost!$B$6:$B$8</c:f>
              <c:numCache>
                <c:formatCode>General</c:formatCode>
                <c:ptCount val="2"/>
                <c:pt idx="0">
                  <c:v>464</c:v>
                </c:pt>
                <c:pt idx="1">
                  <c:v>37</c:v>
                </c:pt>
              </c:numCache>
            </c:numRef>
          </c:val>
        </c:ser>
        <c:ser>
          <c:idx val="1"/>
          <c:order val="1"/>
          <c:tx>
            <c:strRef>
              <c:f>Svéprávnost!$C$4:$C$5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Svéprávnost!$A$6:$A$8</c:f>
              <c:strCache>
                <c:ptCount val="2"/>
                <c:pt idx="0">
                  <c:v>omezená svéprávnost</c:v>
                </c:pt>
                <c:pt idx="1">
                  <c:v>plná svéprávnost</c:v>
                </c:pt>
              </c:strCache>
            </c:strRef>
          </c:cat>
          <c:val>
            <c:numRef>
              <c:f>Svéprávnost!$C$6:$C$8</c:f>
              <c:numCache>
                <c:formatCode>General</c:formatCode>
                <c:ptCount val="2"/>
                <c:pt idx="0">
                  <c:v>456</c:v>
                </c:pt>
                <c:pt idx="1">
                  <c:v>42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5757440"/>
        <c:axId val="95758976"/>
      </c:barChart>
      <c:catAx>
        <c:axId val="95757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5758976"/>
        <c:crosses val="autoZero"/>
        <c:auto val="0"/>
        <c:lblAlgn val="ctr"/>
        <c:lblOffset val="100"/>
        <c:noMultiLvlLbl val="0"/>
      </c:catAx>
      <c:valAx>
        <c:axId val="95758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7574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[VSD_s NZ IxIV sber dat.xlsx]Opatrovnictví II!Kontingenční tabulka 6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US" sz="1600"/>
              <a:t>Opatrovnictví</a:t>
            </a:r>
            <a:r>
              <a:rPr lang="cs-CZ" sz="1600"/>
              <a:t> (2014-2015)</a:t>
            </a:r>
            <a:endParaRPr lang="en-US" sz="1600"/>
          </a:p>
        </c:rich>
      </c:tx>
      <c:layout/>
      <c:overlay val="0"/>
    </c:title>
    <c:autoTitleDeleted val="0"/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  <c:pivotFmt>
        <c:idx val="9"/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'Opatrovnictví II'!$B$4:$B$5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'Opatrovnictví II'!$A$6:$A$11</c:f>
              <c:strCache>
                <c:ptCount val="5"/>
                <c:pt idx="0">
                  <c:v>jiná osoba</c:v>
                </c:pt>
                <c:pt idx="1">
                  <c:v>jiná osoba blízká</c:v>
                </c:pt>
                <c:pt idx="2">
                  <c:v>příbuzný </c:v>
                </c:pt>
                <c:pt idx="3">
                  <c:v>veřejný opatrovník (obec)</c:v>
                </c:pt>
                <c:pt idx="4">
                  <c:v>zaměstnanec poskytovatele sociální služby</c:v>
                </c:pt>
              </c:strCache>
            </c:strRef>
          </c:cat>
          <c:val>
            <c:numRef>
              <c:f>'Opatrovnictví II'!$B$6:$B$11</c:f>
              <c:numCache>
                <c:formatCode>General</c:formatCode>
                <c:ptCount val="5"/>
                <c:pt idx="0">
                  <c:v>23</c:v>
                </c:pt>
                <c:pt idx="1">
                  <c:v>3</c:v>
                </c:pt>
                <c:pt idx="2">
                  <c:v>229</c:v>
                </c:pt>
                <c:pt idx="3">
                  <c:v>196</c:v>
                </c:pt>
                <c:pt idx="4">
                  <c:v>17</c:v>
                </c:pt>
              </c:numCache>
            </c:numRef>
          </c:val>
        </c:ser>
        <c:ser>
          <c:idx val="1"/>
          <c:order val="1"/>
          <c:tx>
            <c:strRef>
              <c:f>'Opatrovnictví II'!$C$4:$C$5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'Opatrovnictví II'!$A$6:$A$11</c:f>
              <c:strCache>
                <c:ptCount val="5"/>
                <c:pt idx="0">
                  <c:v>jiná osoba</c:v>
                </c:pt>
                <c:pt idx="1">
                  <c:v>jiná osoba blízká</c:v>
                </c:pt>
                <c:pt idx="2">
                  <c:v>příbuzný </c:v>
                </c:pt>
                <c:pt idx="3">
                  <c:v>veřejný opatrovník (obec)</c:v>
                </c:pt>
                <c:pt idx="4">
                  <c:v>zaměstnanec poskytovatele sociální služby</c:v>
                </c:pt>
              </c:strCache>
            </c:strRef>
          </c:cat>
          <c:val>
            <c:numRef>
              <c:f>'Opatrovnictví II'!$C$6:$C$11</c:f>
              <c:numCache>
                <c:formatCode>General</c:formatCode>
                <c:ptCount val="5"/>
                <c:pt idx="0">
                  <c:v>19</c:v>
                </c:pt>
                <c:pt idx="1">
                  <c:v>3</c:v>
                </c:pt>
                <c:pt idx="2">
                  <c:v>227</c:v>
                </c:pt>
                <c:pt idx="3">
                  <c:v>200</c:v>
                </c:pt>
                <c:pt idx="4">
                  <c:v>16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5802112"/>
        <c:axId val="95803648"/>
      </c:barChart>
      <c:catAx>
        <c:axId val="95802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5803648"/>
        <c:crosses val="autoZero"/>
        <c:auto val="0"/>
        <c:lblAlgn val="ctr"/>
        <c:lblOffset val="100"/>
        <c:noMultiLvlLbl val="0"/>
      </c:catAx>
      <c:valAx>
        <c:axId val="95803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8021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600"/>
              <a:t>Zaměstnání uživatelů dle druhu</a:t>
            </a:r>
            <a:r>
              <a:rPr lang="cs-CZ" sz="1600" baseline="0"/>
              <a:t> služby</a:t>
            </a:r>
            <a:endParaRPr lang="cs-CZ" sz="1600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Zaměstnanost!$F$26</c:f>
              <c:strCache>
                <c:ptCount val="1"/>
                <c:pt idx="0">
                  <c:v>DOZP</c:v>
                </c:pt>
              </c:strCache>
            </c:strRef>
          </c:tx>
          <c:invertIfNegative val="0"/>
          <c:cat>
            <c:strRef>
              <c:f>Zaměstnanost!$E$27:$E$33</c:f>
              <c:strCache>
                <c:ptCount val="7"/>
                <c:pt idx="0">
                  <c:v>mimo zařízení - DPČ</c:v>
                </c:pt>
                <c:pt idx="1">
                  <c:v>mimo zařízení - DPP</c:v>
                </c:pt>
                <c:pt idx="2">
                  <c:v>mimo zařízení - PS</c:v>
                </c:pt>
                <c:pt idx="3">
                  <c:v>nepracuje </c:v>
                </c:pt>
                <c:pt idx="4">
                  <c:v>v zařízení - DPČ</c:v>
                </c:pt>
                <c:pt idx="5">
                  <c:v>v zařízení - DPP</c:v>
                </c:pt>
                <c:pt idx="6">
                  <c:v>v zařízení - PS</c:v>
                </c:pt>
              </c:strCache>
            </c:strRef>
          </c:cat>
          <c:val>
            <c:numRef>
              <c:f>Zaměstnanost!$F$27:$F$33</c:f>
              <c:numCache>
                <c:formatCode>General</c:formatCode>
                <c:ptCount val="7"/>
                <c:pt idx="0">
                  <c:v>0</c:v>
                </c:pt>
                <c:pt idx="1">
                  <c:v>3</c:v>
                </c:pt>
                <c:pt idx="2">
                  <c:v>2</c:v>
                </c:pt>
                <c:pt idx="3">
                  <c:v>312</c:v>
                </c:pt>
                <c:pt idx="4">
                  <c:v>0</c:v>
                </c:pt>
                <c:pt idx="5">
                  <c:v>0</c:v>
                </c:pt>
                <c:pt idx="6">
                  <c:v>6</c:v>
                </c:pt>
              </c:numCache>
            </c:numRef>
          </c:val>
        </c:ser>
        <c:ser>
          <c:idx val="1"/>
          <c:order val="1"/>
          <c:tx>
            <c:strRef>
              <c:f>Zaměstnanost!$G$26</c:f>
              <c:strCache>
                <c:ptCount val="1"/>
                <c:pt idx="0">
                  <c:v>CHB</c:v>
                </c:pt>
              </c:strCache>
            </c:strRef>
          </c:tx>
          <c:invertIfNegative val="0"/>
          <c:cat>
            <c:strRef>
              <c:f>Zaměstnanost!$E$27:$E$33</c:f>
              <c:strCache>
                <c:ptCount val="7"/>
                <c:pt idx="0">
                  <c:v>mimo zařízení - DPČ</c:v>
                </c:pt>
                <c:pt idx="1">
                  <c:v>mimo zařízení - DPP</c:v>
                </c:pt>
                <c:pt idx="2">
                  <c:v>mimo zařízení - PS</c:v>
                </c:pt>
                <c:pt idx="3">
                  <c:v>nepracuje </c:v>
                </c:pt>
                <c:pt idx="4">
                  <c:v>v zařízení - DPČ</c:v>
                </c:pt>
                <c:pt idx="5">
                  <c:v>v zařízení - DPP</c:v>
                </c:pt>
                <c:pt idx="6">
                  <c:v>v zařízení - PS</c:v>
                </c:pt>
              </c:strCache>
            </c:strRef>
          </c:cat>
          <c:val>
            <c:numRef>
              <c:f>Zaměstnanost!$G$27:$G$33</c:f>
              <c:numCache>
                <c:formatCode>General</c:formatCode>
                <c:ptCount val="7"/>
                <c:pt idx="0">
                  <c:v>4</c:v>
                </c:pt>
                <c:pt idx="1">
                  <c:v>2</c:v>
                </c:pt>
                <c:pt idx="2">
                  <c:v>38</c:v>
                </c:pt>
                <c:pt idx="3">
                  <c:v>96</c:v>
                </c:pt>
                <c:pt idx="4">
                  <c:v>3</c:v>
                </c:pt>
                <c:pt idx="5">
                  <c:v>12</c:v>
                </c:pt>
                <c:pt idx="6">
                  <c:v>20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4755968"/>
        <c:axId val="104757504"/>
        <c:axId val="0"/>
      </c:bar3DChart>
      <c:catAx>
        <c:axId val="104755968"/>
        <c:scaling>
          <c:orientation val="minMax"/>
        </c:scaling>
        <c:delete val="0"/>
        <c:axPos val="b"/>
        <c:majorTickMark val="out"/>
        <c:minorTickMark val="none"/>
        <c:tickLblPos val="nextTo"/>
        <c:crossAx val="104757504"/>
        <c:crosses val="autoZero"/>
        <c:auto val="1"/>
        <c:lblAlgn val="ctr"/>
        <c:lblOffset val="100"/>
        <c:noMultiLvlLbl val="0"/>
      </c:catAx>
      <c:valAx>
        <c:axId val="104757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47559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Pracovníci v DOZP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07174103237096E-2"/>
          <c:y val="0.19480351414406533"/>
          <c:w val="0.88087226596675428"/>
          <c:h val="0.298858632254301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'KT PS a DPČ úvazky '!$P$6</c:f>
              <c:strCache>
                <c:ptCount val="1"/>
                <c:pt idx="0">
                  <c:v>první sběr v zařízeních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'KT PS a DPČ úvazky '!$O$7:$O$14</c:f>
              <c:strCache>
                <c:ptCount val="8"/>
                <c:pt idx="0">
                  <c:v>Technický a administrativní personál</c:v>
                </c:pt>
                <c:pt idx="1">
                  <c:v>Vedoucí pracovníci</c:v>
                </c:pt>
                <c:pt idx="2">
                  <c:v>Fyzioterapeut </c:v>
                </c:pt>
                <c:pt idx="3">
                  <c:v>Ostatní pracovnící </c:v>
                </c:pt>
                <c:pt idx="4">
                  <c:v>Pedagogičtí pracovníci </c:v>
                </c:pt>
                <c:pt idx="5">
                  <c:v>Pracovníci v soc. službách </c:v>
                </c:pt>
                <c:pt idx="6">
                  <c:v>Sociální pracovníci </c:v>
                </c:pt>
                <c:pt idx="7">
                  <c:v>Všeobecné sestry </c:v>
                </c:pt>
              </c:strCache>
            </c:strRef>
          </c:cat>
          <c:val>
            <c:numRef>
              <c:f>'KT PS a DPČ úvazky '!$P$7:$P$14</c:f>
              <c:numCache>
                <c:formatCode>General</c:formatCode>
                <c:ptCount val="8"/>
                <c:pt idx="0">
                  <c:v>109.87</c:v>
                </c:pt>
                <c:pt idx="1">
                  <c:v>23.7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203.47</c:v>
                </c:pt>
                <c:pt idx="6">
                  <c:v>13.379999999999999</c:v>
                </c:pt>
                <c:pt idx="7">
                  <c:v>31.25</c:v>
                </c:pt>
              </c:numCache>
            </c:numRef>
          </c:val>
        </c:ser>
        <c:ser>
          <c:idx val="1"/>
          <c:order val="1"/>
          <c:tx>
            <c:strRef>
              <c:f>'KT PS a DPČ úvazky '!$Q$6</c:f>
              <c:strCache>
                <c:ptCount val="1"/>
                <c:pt idx="0">
                  <c:v>poslední sběr v zařízeních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'KT PS a DPČ úvazky '!$O$7:$O$14</c:f>
              <c:strCache>
                <c:ptCount val="8"/>
                <c:pt idx="0">
                  <c:v>Technický a administrativní personál</c:v>
                </c:pt>
                <c:pt idx="1">
                  <c:v>Vedoucí pracovníci</c:v>
                </c:pt>
                <c:pt idx="2">
                  <c:v>Fyzioterapeut </c:v>
                </c:pt>
                <c:pt idx="3">
                  <c:v>Ostatní pracovnící </c:v>
                </c:pt>
                <c:pt idx="4">
                  <c:v>Pedagogičtí pracovníci </c:v>
                </c:pt>
                <c:pt idx="5">
                  <c:v>Pracovníci v soc. službách </c:v>
                </c:pt>
                <c:pt idx="6">
                  <c:v>Sociální pracovníci </c:v>
                </c:pt>
                <c:pt idx="7">
                  <c:v>Všeobecné sestry </c:v>
                </c:pt>
              </c:strCache>
            </c:strRef>
          </c:cat>
          <c:val>
            <c:numRef>
              <c:f>'KT PS a DPČ úvazky '!$Q$7:$Q$14</c:f>
              <c:numCache>
                <c:formatCode>General</c:formatCode>
                <c:ptCount val="8"/>
                <c:pt idx="0">
                  <c:v>74.600000000000009</c:v>
                </c:pt>
                <c:pt idx="1">
                  <c:v>21.79</c:v>
                </c:pt>
                <c:pt idx="2">
                  <c:v>0.5</c:v>
                </c:pt>
                <c:pt idx="3">
                  <c:v>0</c:v>
                </c:pt>
                <c:pt idx="4">
                  <c:v>0</c:v>
                </c:pt>
                <c:pt idx="5">
                  <c:v>258.21000000000004</c:v>
                </c:pt>
                <c:pt idx="6">
                  <c:v>8.35</c:v>
                </c:pt>
                <c:pt idx="7">
                  <c:v>20.86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4784256"/>
        <c:axId val="104785792"/>
        <c:axId val="0"/>
      </c:bar3DChart>
      <c:catAx>
        <c:axId val="104784256"/>
        <c:scaling>
          <c:orientation val="minMax"/>
        </c:scaling>
        <c:delete val="0"/>
        <c:axPos val="b"/>
        <c:majorTickMark val="out"/>
        <c:minorTickMark val="none"/>
        <c:tickLblPos val="nextTo"/>
        <c:crossAx val="104785792"/>
        <c:crosses val="autoZero"/>
        <c:auto val="1"/>
        <c:lblAlgn val="ctr"/>
        <c:lblOffset val="100"/>
        <c:noMultiLvlLbl val="0"/>
      </c:catAx>
      <c:valAx>
        <c:axId val="104785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47842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6.1388451443569553E-2"/>
          <c:y val="0.86298410615339749"/>
          <c:w val="0.91916710411198599"/>
          <c:h val="0.1118788276465441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600"/>
              <a:t>Pracovníci v CHB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959928031594922"/>
          <c:y val="0.11550459785097052"/>
          <c:w val="0.72303058162927369"/>
          <c:h val="0.461284974968377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'KT PS a DPČ úvazky '!$P$19</c:f>
              <c:strCache>
                <c:ptCount val="1"/>
                <c:pt idx="0">
                  <c:v>první sběr v zařízeních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'KT PS a DPČ úvazky '!$O$20:$O$27</c:f>
              <c:strCache>
                <c:ptCount val="8"/>
                <c:pt idx="0">
                  <c:v>Technický a administrativní personál</c:v>
                </c:pt>
                <c:pt idx="1">
                  <c:v>Vedoucí pracovníci</c:v>
                </c:pt>
                <c:pt idx="2">
                  <c:v>Fyzioterapeut </c:v>
                </c:pt>
                <c:pt idx="3">
                  <c:v>Ostatní pracovnící </c:v>
                </c:pt>
                <c:pt idx="4">
                  <c:v>Pedagogičtí pracovníci </c:v>
                </c:pt>
                <c:pt idx="5">
                  <c:v>Pracovníci v soc. službách </c:v>
                </c:pt>
                <c:pt idx="6">
                  <c:v>Sociální pracovníci </c:v>
                </c:pt>
                <c:pt idx="7">
                  <c:v>Všeobecné sestry </c:v>
                </c:pt>
              </c:strCache>
            </c:strRef>
          </c:cat>
          <c:val>
            <c:numRef>
              <c:f>'KT PS a DPČ úvazky '!$P$20:$P$27</c:f>
              <c:numCache>
                <c:formatCode>General</c:formatCode>
                <c:ptCount val="8"/>
                <c:pt idx="0">
                  <c:v>3.8000000000000003</c:v>
                </c:pt>
                <c:pt idx="1">
                  <c:v>5.95</c:v>
                </c:pt>
                <c:pt idx="2">
                  <c:v>0</c:v>
                </c:pt>
                <c:pt idx="3">
                  <c:v>0</c:v>
                </c:pt>
                <c:pt idx="4">
                  <c:v>0.63</c:v>
                </c:pt>
                <c:pt idx="5">
                  <c:v>53.05</c:v>
                </c:pt>
                <c:pt idx="6">
                  <c:v>3.28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'KT PS a DPČ úvazky '!$Q$19</c:f>
              <c:strCache>
                <c:ptCount val="1"/>
                <c:pt idx="0">
                  <c:v>poslední sběr v zařízeních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'KT PS a DPČ úvazky '!$O$20:$O$27</c:f>
              <c:strCache>
                <c:ptCount val="8"/>
                <c:pt idx="0">
                  <c:v>Technický a administrativní personál</c:v>
                </c:pt>
                <c:pt idx="1">
                  <c:v>Vedoucí pracovníci</c:v>
                </c:pt>
                <c:pt idx="2">
                  <c:v>Fyzioterapeut </c:v>
                </c:pt>
                <c:pt idx="3">
                  <c:v>Ostatní pracovnící </c:v>
                </c:pt>
                <c:pt idx="4">
                  <c:v>Pedagogičtí pracovníci </c:v>
                </c:pt>
                <c:pt idx="5">
                  <c:v>Pracovníci v soc. službách </c:v>
                </c:pt>
                <c:pt idx="6">
                  <c:v>Sociální pracovníci </c:v>
                </c:pt>
                <c:pt idx="7">
                  <c:v>Všeobecné sestry </c:v>
                </c:pt>
              </c:strCache>
            </c:strRef>
          </c:cat>
          <c:val>
            <c:numRef>
              <c:f>'KT PS a DPČ úvazky '!$Q$20:$Q$27</c:f>
              <c:numCache>
                <c:formatCode>General</c:formatCode>
                <c:ptCount val="8"/>
                <c:pt idx="0">
                  <c:v>9</c:v>
                </c:pt>
                <c:pt idx="1">
                  <c:v>10.74</c:v>
                </c:pt>
                <c:pt idx="2">
                  <c:v>0</c:v>
                </c:pt>
                <c:pt idx="3">
                  <c:v>0.85</c:v>
                </c:pt>
                <c:pt idx="4">
                  <c:v>1</c:v>
                </c:pt>
                <c:pt idx="5">
                  <c:v>97.990000000000009</c:v>
                </c:pt>
                <c:pt idx="6">
                  <c:v>8.4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1571072"/>
        <c:axId val="61572608"/>
        <c:axId val="0"/>
      </c:bar3DChart>
      <c:catAx>
        <c:axId val="61571072"/>
        <c:scaling>
          <c:orientation val="minMax"/>
        </c:scaling>
        <c:delete val="0"/>
        <c:axPos val="b"/>
        <c:majorTickMark val="out"/>
        <c:minorTickMark val="none"/>
        <c:tickLblPos val="nextTo"/>
        <c:crossAx val="61572608"/>
        <c:crosses val="autoZero"/>
        <c:auto val="1"/>
        <c:lblAlgn val="ctr"/>
        <c:lblOffset val="100"/>
        <c:noMultiLvlLbl val="0"/>
      </c:catAx>
      <c:valAx>
        <c:axId val="61572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15710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4.1054218505172733E-2"/>
          <c:y val="0.89397313437767911"/>
          <c:w val="0.94639085368566223"/>
          <c:h val="7.625740989258524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600"/>
              <a:t>Počet uživatelů</a:t>
            </a:r>
            <a:r>
              <a:rPr lang="cs-CZ" sz="1600" baseline="0"/>
              <a:t> na pokoji</a:t>
            </a:r>
            <a:endParaRPr lang="cs-CZ" sz="1600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954234822814329E-2"/>
          <c:y val="0.14224316872019779"/>
          <c:w val="0.91873950740677535"/>
          <c:h val="0.649406435819981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'Počet pokoje'!$G$8</c:f>
              <c:strCache>
                <c:ptCount val="1"/>
                <c:pt idx="0">
                  <c:v>první sběr v zařízení</c:v>
                </c:pt>
              </c:strCache>
            </c:strRef>
          </c:tx>
          <c:invertIfNegative val="0"/>
          <c:cat>
            <c:strRef>
              <c:f>'Počet pokoje'!$F$9:$F$15</c:f>
              <c:strCache>
                <c:ptCount val="7"/>
                <c:pt idx="0">
                  <c:v>1lůžkový</c:v>
                </c:pt>
                <c:pt idx="1">
                  <c:v>2lůžkový</c:v>
                </c:pt>
                <c:pt idx="2">
                  <c:v>3lůžkový</c:v>
                </c:pt>
                <c:pt idx="3">
                  <c:v>4lůžkový</c:v>
                </c:pt>
                <c:pt idx="4">
                  <c:v>5lůžkový</c:v>
                </c:pt>
                <c:pt idx="5">
                  <c:v>6lůžkový</c:v>
                </c:pt>
                <c:pt idx="6">
                  <c:v>7lůžkový</c:v>
                </c:pt>
              </c:strCache>
            </c:strRef>
          </c:cat>
          <c:val>
            <c:numRef>
              <c:f>'Počet pokoje'!$G$9:$G$15</c:f>
              <c:numCache>
                <c:formatCode>General</c:formatCode>
                <c:ptCount val="7"/>
                <c:pt idx="0">
                  <c:v>74</c:v>
                </c:pt>
                <c:pt idx="1">
                  <c:v>250</c:v>
                </c:pt>
                <c:pt idx="2">
                  <c:v>111</c:v>
                </c:pt>
                <c:pt idx="3">
                  <c:v>57</c:v>
                </c:pt>
                <c:pt idx="4">
                  <c:v>15</c:v>
                </c:pt>
                <c:pt idx="5">
                  <c:v>12</c:v>
                </c:pt>
                <c:pt idx="6">
                  <c:v>7</c:v>
                </c:pt>
              </c:numCache>
            </c:numRef>
          </c:val>
        </c:ser>
        <c:ser>
          <c:idx val="1"/>
          <c:order val="1"/>
          <c:tx>
            <c:strRef>
              <c:f>'Počet pokoje'!$H$8</c:f>
              <c:strCache>
                <c:ptCount val="1"/>
                <c:pt idx="0">
                  <c:v>poslední sběr v zařízení</c:v>
                </c:pt>
              </c:strCache>
            </c:strRef>
          </c:tx>
          <c:invertIfNegative val="0"/>
          <c:cat>
            <c:strRef>
              <c:f>'Počet pokoje'!$F$9:$F$15</c:f>
              <c:strCache>
                <c:ptCount val="7"/>
                <c:pt idx="0">
                  <c:v>1lůžkový</c:v>
                </c:pt>
                <c:pt idx="1">
                  <c:v>2lůžkový</c:v>
                </c:pt>
                <c:pt idx="2">
                  <c:v>3lůžkový</c:v>
                </c:pt>
                <c:pt idx="3">
                  <c:v>4lůžkový</c:v>
                </c:pt>
                <c:pt idx="4">
                  <c:v>5lůžkový</c:v>
                </c:pt>
                <c:pt idx="5">
                  <c:v>6lůžkový</c:v>
                </c:pt>
                <c:pt idx="6">
                  <c:v>7lůžkový</c:v>
                </c:pt>
              </c:strCache>
            </c:strRef>
          </c:cat>
          <c:val>
            <c:numRef>
              <c:f>'Počet pokoje'!$H$9:$H$15</c:f>
              <c:numCache>
                <c:formatCode>General</c:formatCode>
                <c:ptCount val="7"/>
                <c:pt idx="0">
                  <c:v>178</c:v>
                </c:pt>
                <c:pt idx="1">
                  <c:v>256</c:v>
                </c:pt>
                <c:pt idx="2">
                  <c:v>55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8675840"/>
        <c:axId val="128677376"/>
        <c:axId val="0"/>
      </c:bar3DChart>
      <c:catAx>
        <c:axId val="128675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8677376"/>
        <c:crosses val="autoZero"/>
        <c:auto val="1"/>
        <c:lblAlgn val="ctr"/>
        <c:lblOffset val="100"/>
        <c:noMultiLvlLbl val="0"/>
      </c:catAx>
      <c:valAx>
        <c:axId val="128677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675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6.8349056987071652E-2"/>
          <c:y val="0.89903827540123193"/>
          <c:w val="0.86213630416940912"/>
          <c:h val="6.1609042602045638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600"/>
              <a:t>Počet</a:t>
            </a:r>
            <a:r>
              <a:rPr lang="cs-CZ" sz="1600" baseline="0"/>
              <a:t> uživatelů sdílejících koupelnu </a:t>
            </a:r>
          </a:p>
          <a:p>
            <a:pPr>
              <a:defRPr/>
            </a:pPr>
            <a:r>
              <a:rPr lang="cs-CZ" sz="1600" baseline="0"/>
              <a:t>s dalšími uživateli</a:t>
            </a:r>
            <a:endParaRPr lang="cs-CZ" sz="1600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07174103237096E-2"/>
          <c:y val="0.2488851534268354"/>
          <c:w val="0.87944181977252844"/>
          <c:h val="0.5159752330299471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'Počet koupelna'!$G$5</c:f>
              <c:strCache>
                <c:ptCount val="1"/>
                <c:pt idx="0">
                  <c:v>první sběv v zařízení</c:v>
                </c:pt>
              </c:strCache>
            </c:strRef>
          </c:tx>
          <c:invertIfNegative val="0"/>
          <c:cat>
            <c:strRef>
              <c:f>'Počet koupelna'!$F$6:$F$12</c:f>
              <c:strCache>
                <c:ptCount val="7"/>
                <c:pt idx="0">
                  <c:v>0</c:v>
                </c:pt>
                <c:pt idx="1">
                  <c:v>1</c:v>
                </c:pt>
                <c:pt idx="2">
                  <c:v>2 až 5</c:v>
                </c:pt>
                <c:pt idx="3">
                  <c:v>6 až 10</c:v>
                </c:pt>
                <c:pt idx="4">
                  <c:v>11 až 15</c:v>
                </c:pt>
                <c:pt idx="5">
                  <c:v>16 až 20</c:v>
                </c:pt>
                <c:pt idx="6">
                  <c:v>20 až 30</c:v>
                </c:pt>
              </c:strCache>
            </c:strRef>
          </c:cat>
          <c:val>
            <c:numRef>
              <c:f>'Počet koupelna'!$G$6:$G$12</c:f>
              <c:numCache>
                <c:formatCode>General</c:formatCode>
                <c:ptCount val="7"/>
                <c:pt idx="0">
                  <c:v>3</c:v>
                </c:pt>
                <c:pt idx="1">
                  <c:v>18</c:v>
                </c:pt>
                <c:pt idx="2">
                  <c:v>106</c:v>
                </c:pt>
                <c:pt idx="3">
                  <c:v>71</c:v>
                </c:pt>
                <c:pt idx="4">
                  <c:v>98</c:v>
                </c:pt>
                <c:pt idx="5">
                  <c:v>18</c:v>
                </c:pt>
                <c:pt idx="6">
                  <c:v>73</c:v>
                </c:pt>
              </c:numCache>
            </c:numRef>
          </c:val>
        </c:ser>
        <c:ser>
          <c:idx val="1"/>
          <c:order val="1"/>
          <c:tx>
            <c:strRef>
              <c:f>'Počet koupelna'!$H$5</c:f>
              <c:strCache>
                <c:ptCount val="1"/>
                <c:pt idx="0">
                  <c:v>poslední sběr v zařízení</c:v>
                </c:pt>
              </c:strCache>
            </c:strRef>
          </c:tx>
          <c:invertIfNegative val="0"/>
          <c:cat>
            <c:strRef>
              <c:f>'Počet koupelna'!$F$6:$F$12</c:f>
              <c:strCache>
                <c:ptCount val="7"/>
                <c:pt idx="0">
                  <c:v>0</c:v>
                </c:pt>
                <c:pt idx="1">
                  <c:v>1</c:v>
                </c:pt>
                <c:pt idx="2">
                  <c:v>2 až 5</c:v>
                </c:pt>
                <c:pt idx="3">
                  <c:v>6 až 10</c:v>
                </c:pt>
                <c:pt idx="4">
                  <c:v>11 až 15</c:v>
                </c:pt>
                <c:pt idx="5">
                  <c:v>16 až 20</c:v>
                </c:pt>
                <c:pt idx="6">
                  <c:v>20 až 30</c:v>
                </c:pt>
              </c:strCache>
            </c:strRef>
          </c:cat>
          <c:val>
            <c:numRef>
              <c:f>'Počet koupelna'!$H$6:$H$12</c:f>
              <c:numCache>
                <c:formatCode>General</c:formatCode>
                <c:ptCount val="7"/>
                <c:pt idx="0">
                  <c:v>6</c:v>
                </c:pt>
                <c:pt idx="1">
                  <c:v>16</c:v>
                </c:pt>
                <c:pt idx="2">
                  <c:v>221</c:v>
                </c:pt>
                <c:pt idx="3">
                  <c:v>80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5375360"/>
        <c:axId val="95376896"/>
        <c:axId val="0"/>
      </c:bar3DChart>
      <c:catAx>
        <c:axId val="95375360"/>
        <c:scaling>
          <c:orientation val="minMax"/>
        </c:scaling>
        <c:delete val="0"/>
        <c:axPos val="b"/>
        <c:majorTickMark val="out"/>
        <c:minorTickMark val="none"/>
        <c:tickLblPos val="nextTo"/>
        <c:crossAx val="95376896"/>
        <c:crosses val="autoZero"/>
        <c:auto val="1"/>
        <c:lblAlgn val="ctr"/>
        <c:lblOffset val="100"/>
        <c:noMultiLvlLbl val="0"/>
      </c:catAx>
      <c:valAx>
        <c:axId val="95376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3753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3.4958005249343831E-2"/>
          <c:y val="0.86917877787700504"/>
          <c:w val="0.89837532808398946"/>
          <c:h val="9.7989938757655298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600"/>
              <a:t>Počet uživatelů sdílejících WC s dalšími uživateli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071768026519321E-2"/>
          <c:y val="0.23104759303930938"/>
          <c:w val="0.89333070866141728"/>
          <c:h val="0.565864700438456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'Počet WC'!$G$5</c:f>
              <c:strCache>
                <c:ptCount val="1"/>
                <c:pt idx="0">
                  <c:v>první sběr v zařízení</c:v>
                </c:pt>
              </c:strCache>
            </c:strRef>
          </c:tx>
          <c:invertIfNegative val="0"/>
          <c:cat>
            <c:strRef>
              <c:f>'Počet WC'!$F$6:$F$10</c:f>
              <c:strCache>
                <c:ptCount val="5"/>
                <c:pt idx="0">
                  <c:v>0</c:v>
                </c:pt>
                <c:pt idx="1">
                  <c:v>1</c:v>
                </c:pt>
                <c:pt idx="2">
                  <c:v>2 až 5</c:v>
                </c:pt>
                <c:pt idx="3">
                  <c:v>6 až 10</c:v>
                </c:pt>
                <c:pt idx="4">
                  <c:v>11 až 15</c:v>
                </c:pt>
              </c:strCache>
            </c:strRef>
          </c:cat>
          <c:val>
            <c:numRef>
              <c:f>'Počet WC'!$G$6:$G$10</c:f>
              <c:numCache>
                <c:formatCode>General</c:formatCode>
                <c:ptCount val="5"/>
                <c:pt idx="0">
                  <c:v>18</c:v>
                </c:pt>
                <c:pt idx="1">
                  <c:v>55</c:v>
                </c:pt>
                <c:pt idx="2">
                  <c:v>258</c:v>
                </c:pt>
                <c:pt idx="3">
                  <c:v>140</c:v>
                </c:pt>
                <c:pt idx="4">
                  <c:v>55</c:v>
                </c:pt>
              </c:numCache>
            </c:numRef>
          </c:val>
        </c:ser>
        <c:ser>
          <c:idx val="1"/>
          <c:order val="1"/>
          <c:tx>
            <c:strRef>
              <c:f>'Počet WC'!$H$5</c:f>
              <c:strCache>
                <c:ptCount val="1"/>
                <c:pt idx="0">
                  <c:v>poslední sběr v zařízení</c:v>
                </c:pt>
              </c:strCache>
            </c:strRef>
          </c:tx>
          <c:invertIfNegative val="0"/>
          <c:cat>
            <c:strRef>
              <c:f>'Počet WC'!$F$6:$F$10</c:f>
              <c:strCache>
                <c:ptCount val="5"/>
                <c:pt idx="0">
                  <c:v>0</c:v>
                </c:pt>
                <c:pt idx="1">
                  <c:v>1</c:v>
                </c:pt>
                <c:pt idx="2">
                  <c:v>2 až 5</c:v>
                </c:pt>
                <c:pt idx="3">
                  <c:v>6 až 10</c:v>
                </c:pt>
                <c:pt idx="4">
                  <c:v>11 až 15</c:v>
                </c:pt>
              </c:strCache>
            </c:strRef>
          </c:cat>
          <c:val>
            <c:numRef>
              <c:f>'Počet WC'!$H$6:$H$10</c:f>
              <c:numCache>
                <c:formatCode>General</c:formatCode>
                <c:ptCount val="5"/>
                <c:pt idx="0">
                  <c:v>23</c:v>
                </c:pt>
                <c:pt idx="1">
                  <c:v>115</c:v>
                </c:pt>
                <c:pt idx="2">
                  <c:v>319</c:v>
                </c:pt>
                <c:pt idx="3">
                  <c:v>41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5399936"/>
        <c:axId val="95401472"/>
        <c:axId val="0"/>
      </c:bar3DChart>
      <c:catAx>
        <c:axId val="95399936"/>
        <c:scaling>
          <c:orientation val="minMax"/>
        </c:scaling>
        <c:delete val="0"/>
        <c:axPos val="b"/>
        <c:majorTickMark val="out"/>
        <c:minorTickMark val="none"/>
        <c:tickLblPos val="nextTo"/>
        <c:crossAx val="95401472"/>
        <c:crosses val="autoZero"/>
        <c:auto val="1"/>
        <c:lblAlgn val="ctr"/>
        <c:lblOffset val="100"/>
        <c:noMultiLvlLbl val="0"/>
      </c:catAx>
      <c:valAx>
        <c:axId val="95401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399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0787358076760127"/>
          <c:y val="0.90531549163291003"/>
          <c:w val="0.75948643919510062"/>
          <c:h val="9.3360309128025648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600"/>
              <a:t>Uživatelé</a:t>
            </a:r>
            <a:r>
              <a:rPr lang="cs-CZ" sz="1600" baseline="0"/>
              <a:t> dle věku v prvním sběru dat </a:t>
            </a:r>
          </a:p>
          <a:p>
            <a:pPr>
              <a:defRPr/>
            </a:pPr>
            <a:r>
              <a:rPr lang="cs-CZ" sz="1600" baseline="0"/>
              <a:t>v zařízeních (%)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'Věková struktura'!$A$47:$A$50</c:f>
              <c:strCache>
                <c:ptCount val="4"/>
                <c:pt idx="0">
                  <c:v>dospělí (27 – 64 let)</c:v>
                </c:pt>
                <c:pt idx="1">
                  <c:v>mladí dospělí (19 – 26 let)</c:v>
                </c:pt>
                <c:pt idx="2">
                  <c:v>mladší senioři (65 – 85 let)</c:v>
                </c:pt>
                <c:pt idx="3">
                  <c:v>starší senioři (nad 85)</c:v>
                </c:pt>
              </c:strCache>
            </c:strRef>
          </c:cat>
          <c:val>
            <c:numRef>
              <c:f>'Věková struktura'!$B$47:$B$50</c:f>
              <c:numCache>
                <c:formatCode>0.00%</c:formatCode>
                <c:ptCount val="4"/>
                <c:pt idx="0">
                  <c:v>0.84877126654064272</c:v>
                </c:pt>
                <c:pt idx="1">
                  <c:v>2.2684310018903593E-2</c:v>
                </c:pt>
                <c:pt idx="2">
                  <c:v>0.12476370510396975</c:v>
                </c:pt>
                <c:pt idx="3">
                  <c:v>3.780718336483932E-3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600" b="1" i="0" baseline="0">
                <a:effectLst/>
              </a:rPr>
              <a:t>Uživatelé dle věku v posledním sběru dat </a:t>
            </a:r>
          </a:p>
          <a:p>
            <a:pPr>
              <a:defRPr/>
            </a:pPr>
            <a:r>
              <a:rPr lang="cs-CZ" sz="1600" b="1" i="0" baseline="0">
                <a:effectLst/>
              </a:rPr>
              <a:t>v zařízeních (%)</a:t>
            </a:r>
            <a:endParaRPr lang="cs-CZ" sz="1600">
              <a:effectLst/>
            </a:endParaRP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'Věková struktura'!$C$47:$C$50</c:f>
              <c:strCache>
                <c:ptCount val="4"/>
                <c:pt idx="0">
                  <c:v>dospělí (27 – 64 let)</c:v>
                </c:pt>
                <c:pt idx="1">
                  <c:v>mladí dospělí (19 – 26 let)</c:v>
                </c:pt>
                <c:pt idx="2">
                  <c:v>mladší senioři (65 – 85 let)</c:v>
                </c:pt>
                <c:pt idx="3">
                  <c:v>starší senioři (nad 85)</c:v>
                </c:pt>
              </c:strCache>
            </c:strRef>
          </c:cat>
          <c:val>
            <c:numRef>
              <c:f>'Věková struktura'!$D$47:$D$50</c:f>
              <c:numCache>
                <c:formatCode>0.00%</c:formatCode>
                <c:ptCount val="4"/>
                <c:pt idx="0">
                  <c:v>0.78514056224899598</c:v>
                </c:pt>
                <c:pt idx="1">
                  <c:v>1.4056224899598393E-2</c:v>
                </c:pt>
                <c:pt idx="2">
                  <c:v>0.19678714859437751</c:v>
                </c:pt>
                <c:pt idx="3">
                  <c:v>4.0160642570281121E-3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600"/>
              <a:t>Uživatelé</a:t>
            </a:r>
            <a:r>
              <a:rPr lang="cs-CZ" sz="1600" baseline="0"/>
              <a:t> dle pohlaví v posledním sběru dat </a:t>
            </a:r>
          </a:p>
          <a:p>
            <a:pPr>
              <a:defRPr/>
            </a:pPr>
            <a:r>
              <a:rPr lang="cs-CZ" sz="1600" baseline="0"/>
              <a:t>v zařízeních (%)</a:t>
            </a:r>
            <a:endParaRPr lang="cs-CZ" sz="1600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'Pohlaví uživatelů'!$I$41:$I$42</c:f>
              <c:strCache>
                <c:ptCount val="2"/>
                <c:pt idx="0">
                  <c:v>muži</c:v>
                </c:pt>
                <c:pt idx="1">
                  <c:v>ženy</c:v>
                </c:pt>
              </c:strCache>
            </c:strRef>
          </c:cat>
          <c:val>
            <c:numRef>
              <c:f>'Pohlaví uživatelů'!$J$41:$J$42</c:f>
              <c:numCache>
                <c:formatCode>0.00%</c:formatCode>
                <c:ptCount val="2"/>
                <c:pt idx="0">
                  <c:v>0.57429718875502012</c:v>
                </c:pt>
                <c:pt idx="1">
                  <c:v>0.42570281124497994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600"/>
              <a:t>Počet uživatelů dle příspěvku na péči </a:t>
            </a:r>
          </a:p>
          <a:p>
            <a:pPr>
              <a:defRPr/>
            </a:pPr>
            <a:r>
              <a:rPr lang="cs-CZ" sz="1600"/>
              <a:t>a druhu</a:t>
            </a:r>
            <a:r>
              <a:rPr lang="cs-CZ" sz="1600" baseline="0"/>
              <a:t> služby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590651403770991E-2"/>
          <c:y val="0.23385673655158687"/>
          <c:w val="0.83245070569831237"/>
          <c:h val="0.644954184160669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'Příspěvek na péči '!$J$23</c:f>
              <c:strCache>
                <c:ptCount val="1"/>
                <c:pt idx="0">
                  <c:v>I.</c:v>
                </c:pt>
              </c:strCache>
            </c:strRef>
          </c:tx>
          <c:invertIfNegative val="0"/>
          <c:cat>
            <c:strRef>
              <c:f>'Příspěvek na péči '!$K$22:$N$22</c:f>
              <c:strCache>
                <c:ptCount val="4"/>
                <c:pt idx="0">
                  <c:v>DOZP první sběr</c:v>
                </c:pt>
                <c:pt idx="1">
                  <c:v>DOZP první sběr</c:v>
                </c:pt>
                <c:pt idx="2">
                  <c:v>CHB poslední sběr</c:v>
                </c:pt>
                <c:pt idx="3">
                  <c:v>CHB poslední sběr</c:v>
                </c:pt>
              </c:strCache>
            </c:strRef>
          </c:cat>
          <c:val>
            <c:numRef>
              <c:f>'Příspěvek na péči '!$K$23:$N$23</c:f>
              <c:numCache>
                <c:formatCode>General</c:formatCode>
                <c:ptCount val="4"/>
                <c:pt idx="0">
                  <c:v>26</c:v>
                </c:pt>
                <c:pt idx="1">
                  <c:v>14</c:v>
                </c:pt>
                <c:pt idx="2">
                  <c:v>26</c:v>
                </c:pt>
                <c:pt idx="3">
                  <c:v>36</c:v>
                </c:pt>
              </c:numCache>
            </c:numRef>
          </c:val>
        </c:ser>
        <c:ser>
          <c:idx val="1"/>
          <c:order val="1"/>
          <c:tx>
            <c:strRef>
              <c:f>'Příspěvek na péči '!$J$24</c:f>
              <c:strCache>
                <c:ptCount val="1"/>
                <c:pt idx="0">
                  <c:v>II.</c:v>
                </c:pt>
              </c:strCache>
            </c:strRef>
          </c:tx>
          <c:invertIfNegative val="0"/>
          <c:cat>
            <c:strRef>
              <c:f>'Příspěvek na péči '!$K$22:$N$22</c:f>
              <c:strCache>
                <c:ptCount val="4"/>
                <c:pt idx="0">
                  <c:v>DOZP první sběr</c:v>
                </c:pt>
                <c:pt idx="1">
                  <c:v>DOZP první sběr</c:v>
                </c:pt>
                <c:pt idx="2">
                  <c:v>CHB poslední sběr</c:v>
                </c:pt>
                <c:pt idx="3">
                  <c:v>CHB poslední sběr</c:v>
                </c:pt>
              </c:strCache>
            </c:strRef>
          </c:cat>
          <c:val>
            <c:numRef>
              <c:f>'Příspěvek na péči '!$K$24:$N$24</c:f>
              <c:numCache>
                <c:formatCode>General</c:formatCode>
                <c:ptCount val="4"/>
                <c:pt idx="0">
                  <c:v>112</c:v>
                </c:pt>
                <c:pt idx="1">
                  <c:v>48</c:v>
                </c:pt>
                <c:pt idx="2">
                  <c:v>74</c:v>
                </c:pt>
                <c:pt idx="3">
                  <c:v>92</c:v>
                </c:pt>
              </c:numCache>
            </c:numRef>
          </c:val>
        </c:ser>
        <c:ser>
          <c:idx val="2"/>
          <c:order val="2"/>
          <c:tx>
            <c:strRef>
              <c:f>'Příspěvek na péči '!$J$25</c:f>
              <c:strCache>
                <c:ptCount val="1"/>
                <c:pt idx="0">
                  <c:v>III.</c:v>
                </c:pt>
              </c:strCache>
            </c:strRef>
          </c:tx>
          <c:invertIfNegative val="0"/>
          <c:cat>
            <c:strRef>
              <c:f>'Příspěvek na péči '!$K$22:$N$22</c:f>
              <c:strCache>
                <c:ptCount val="4"/>
                <c:pt idx="0">
                  <c:v>DOZP první sběr</c:v>
                </c:pt>
                <c:pt idx="1">
                  <c:v>DOZP první sběr</c:v>
                </c:pt>
                <c:pt idx="2">
                  <c:v>CHB poslední sběr</c:v>
                </c:pt>
                <c:pt idx="3">
                  <c:v>CHB poslední sběr</c:v>
                </c:pt>
              </c:strCache>
            </c:strRef>
          </c:cat>
          <c:val>
            <c:numRef>
              <c:f>'Příspěvek na péči '!$K$25:$N$25</c:f>
              <c:numCache>
                <c:formatCode>General</c:formatCode>
                <c:ptCount val="4"/>
                <c:pt idx="0">
                  <c:v>118</c:v>
                </c:pt>
                <c:pt idx="1">
                  <c:v>108</c:v>
                </c:pt>
                <c:pt idx="2">
                  <c:v>15</c:v>
                </c:pt>
                <c:pt idx="3">
                  <c:v>39</c:v>
                </c:pt>
              </c:numCache>
            </c:numRef>
          </c:val>
        </c:ser>
        <c:ser>
          <c:idx val="3"/>
          <c:order val="3"/>
          <c:tx>
            <c:strRef>
              <c:f>'Příspěvek na péči '!$J$26</c:f>
              <c:strCache>
                <c:ptCount val="1"/>
                <c:pt idx="0">
                  <c:v>IV.</c:v>
                </c:pt>
              </c:strCache>
            </c:strRef>
          </c:tx>
          <c:invertIfNegative val="0"/>
          <c:cat>
            <c:strRef>
              <c:f>'Příspěvek na péči '!$K$22:$N$22</c:f>
              <c:strCache>
                <c:ptCount val="4"/>
                <c:pt idx="0">
                  <c:v>DOZP první sběr</c:v>
                </c:pt>
                <c:pt idx="1">
                  <c:v>DOZP první sběr</c:v>
                </c:pt>
                <c:pt idx="2">
                  <c:v>CHB poslední sběr</c:v>
                </c:pt>
                <c:pt idx="3">
                  <c:v>CHB poslední sběr</c:v>
                </c:pt>
              </c:strCache>
            </c:strRef>
          </c:cat>
          <c:val>
            <c:numRef>
              <c:f>'Příspěvek na péči '!$K$26:$N$26</c:f>
              <c:numCache>
                <c:formatCode>General</c:formatCode>
                <c:ptCount val="4"/>
                <c:pt idx="0">
                  <c:v>148</c:v>
                </c:pt>
                <c:pt idx="1">
                  <c:v>152</c:v>
                </c:pt>
                <c:pt idx="2">
                  <c:v>4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5493120"/>
        <c:axId val="95507200"/>
        <c:axId val="0"/>
      </c:bar3DChart>
      <c:catAx>
        <c:axId val="95493120"/>
        <c:scaling>
          <c:orientation val="minMax"/>
        </c:scaling>
        <c:delete val="0"/>
        <c:axPos val="b"/>
        <c:majorTickMark val="out"/>
        <c:minorTickMark val="none"/>
        <c:tickLblPos val="nextTo"/>
        <c:crossAx val="95507200"/>
        <c:crosses val="autoZero"/>
        <c:auto val="1"/>
        <c:lblAlgn val="ctr"/>
        <c:lblOffset val="100"/>
        <c:noMultiLvlLbl val="0"/>
      </c:catAx>
      <c:valAx>
        <c:axId val="95507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4931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600" b="1" i="0" u="none" strike="noStrike" baseline="0">
                <a:effectLst/>
              </a:rPr>
              <a:t>Počet u</a:t>
            </a:r>
            <a:r>
              <a:rPr lang="cs-CZ" sz="1600"/>
              <a:t>živatelů</a:t>
            </a:r>
            <a:r>
              <a:rPr lang="cs-CZ" sz="1600" baseline="0"/>
              <a:t> dle míry podpory </a:t>
            </a:r>
          </a:p>
          <a:p>
            <a:pPr>
              <a:defRPr/>
            </a:pPr>
            <a:r>
              <a:rPr lang="cs-CZ" sz="1600" baseline="0"/>
              <a:t>a dle druhu služby</a:t>
            </a:r>
            <a:endParaRPr lang="cs-CZ" sz="1600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590651403770991E-2"/>
          <c:y val="0.22297462817147856"/>
          <c:w val="0.91148820205214443"/>
          <c:h val="0.5003473625611030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'Míra podpory'!$I$18</c:f>
              <c:strCache>
                <c:ptCount val="1"/>
                <c:pt idx="0">
                  <c:v>Nezhodnoceno</c:v>
                </c:pt>
              </c:strCache>
            </c:strRef>
          </c:tx>
          <c:invertIfNegative val="0"/>
          <c:cat>
            <c:strRef>
              <c:f>'Míra podpory'!$J$17:$M$17</c:f>
              <c:strCache>
                <c:ptCount val="4"/>
                <c:pt idx="0">
                  <c:v>DOZP první sběr</c:v>
                </c:pt>
                <c:pt idx="1">
                  <c:v>DOPZ poslední sběr</c:v>
                </c:pt>
                <c:pt idx="2">
                  <c:v>CHB první sběr</c:v>
                </c:pt>
                <c:pt idx="3">
                  <c:v>CHB poslední sběr</c:v>
                </c:pt>
              </c:strCache>
            </c:strRef>
          </c:cat>
          <c:val>
            <c:numRef>
              <c:f>'Míra podpory'!$J$18:$M$18</c:f>
              <c:numCache>
                <c:formatCode>General</c:formatCode>
                <c:ptCount val="4"/>
                <c:pt idx="0">
                  <c:v>21</c:v>
                </c:pt>
                <c:pt idx="1">
                  <c:v>2</c:v>
                </c:pt>
                <c:pt idx="2">
                  <c:v>49</c:v>
                </c:pt>
                <c:pt idx="3">
                  <c:v>54</c:v>
                </c:pt>
              </c:numCache>
            </c:numRef>
          </c:val>
        </c:ser>
        <c:ser>
          <c:idx val="1"/>
          <c:order val="1"/>
          <c:tx>
            <c:strRef>
              <c:f>'Míra podpory'!$I$19</c:f>
              <c:strCache>
                <c:ptCount val="1"/>
                <c:pt idx="0">
                  <c:v>Nízká míra podpory</c:v>
                </c:pt>
              </c:strCache>
            </c:strRef>
          </c:tx>
          <c:invertIfNegative val="0"/>
          <c:cat>
            <c:strRef>
              <c:f>'Míra podpory'!$J$17:$M$17</c:f>
              <c:strCache>
                <c:ptCount val="4"/>
                <c:pt idx="0">
                  <c:v>DOZP první sběr</c:v>
                </c:pt>
                <c:pt idx="1">
                  <c:v>DOPZ poslední sběr</c:v>
                </c:pt>
                <c:pt idx="2">
                  <c:v>CHB první sběr</c:v>
                </c:pt>
                <c:pt idx="3">
                  <c:v>CHB poslední sběr</c:v>
                </c:pt>
              </c:strCache>
            </c:strRef>
          </c:cat>
          <c:val>
            <c:numRef>
              <c:f>'Míra podpory'!$J$19:$M$19</c:f>
              <c:numCache>
                <c:formatCode>General</c:formatCode>
                <c:ptCount val="4"/>
                <c:pt idx="0">
                  <c:v>11</c:v>
                </c:pt>
                <c:pt idx="1">
                  <c:v>15</c:v>
                </c:pt>
                <c:pt idx="2">
                  <c:v>59</c:v>
                </c:pt>
                <c:pt idx="3">
                  <c:v>56</c:v>
                </c:pt>
              </c:numCache>
            </c:numRef>
          </c:val>
        </c:ser>
        <c:ser>
          <c:idx val="2"/>
          <c:order val="2"/>
          <c:tx>
            <c:strRef>
              <c:f>'Míra podpory'!$I$20</c:f>
              <c:strCache>
                <c:ptCount val="1"/>
                <c:pt idx="0">
                  <c:v>Střední míra podpory</c:v>
                </c:pt>
              </c:strCache>
            </c:strRef>
          </c:tx>
          <c:invertIfNegative val="0"/>
          <c:cat>
            <c:strRef>
              <c:f>'Míra podpory'!$J$17:$M$17</c:f>
              <c:strCache>
                <c:ptCount val="4"/>
                <c:pt idx="0">
                  <c:v>DOZP první sběr</c:v>
                </c:pt>
                <c:pt idx="1">
                  <c:v>DOPZ poslední sběr</c:v>
                </c:pt>
                <c:pt idx="2">
                  <c:v>CHB první sběr</c:v>
                </c:pt>
                <c:pt idx="3">
                  <c:v>CHB poslední sběr</c:v>
                </c:pt>
              </c:strCache>
            </c:strRef>
          </c:cat>
          <c:val>
            <c:numRef>
              <c:f>'Míra podpory'!$J$20:$M$20</c:f>
              <c:numCache>
                <c:formatCode>General</c:formatCode>
                <c:ptCount val="4"/>
                <c:pt idx="0">
                  <c:v>107</c:v>
                </c:pt>
                <c:pt idx="1">
                  <c:v>88</c:v>
                </c:pt>
                <c:pt idx="2">
                  <c:v>55</c:v>
                </c:pt>
                <c:pt idx="3">
                  <c:v>59</c:v>
                </c:pt>
              </c:numCache>
            </c:numRef>
          </c:val>
        </c:ser>
        <c:ser>
          <c:idx val="3"/>
          <c:order val="3"/>
          <c:tx>
            <c:strRef>
              <c:f>'Míra podpory'!$I$21</c:f>
              <c:strCache>
                <c:ptCount val="1"/>
                <c:pt idx="0">
                  <c:v>Vysoká míra podpory</c:v>
                </c:pt>
              </c:strCache>
            </c:strRef>
          </c:tx>
          <c:invertIfNegative val="0"/>
          <c:cat>
            <c:strRef>
              <c:f>'Míra podpory'!$J$17:$M$17</c:f>
              <c:strCache>
                <c:ptCount val="4"/>
                <c:pt idx="0">
                  <c:v>DOZP první sběr</c:v>
                </c:pt>
                <c:pt idx="1">
                  <c:v>DOPZ poslední sběr</c:v>
                </c:pt>
                <c:pt idx="2">
                  <c:v>CHB první sběr</c:v>
                </c:pt>
                <c:pt idx="3">
                  <c:v>CHB poslední sběr</c:v>
                </c:pt>
              </c:strCache>
            </c:strRef>
          </c:cat>
          <c:val>
            <c:numRef>
              <c:f>'Míra podpory'!$J$21:$M$21</c:f>
              <c:numCache>
                <c:formatCode>General</c:formatCode>
                <c:ptCount val="4"/>
                <c:pt idx="0">
                  <c:v>268</c:v>
                </c:pt>
                <c:pt idx="1">
                  <c:v>218</c:v>
                </c:pt>
                <c:pt idx="2">
                  <c:v>1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5524352"/>
        <c:axId val="95525888"/>
        <c:axId val="0"/>
      </c:bar3DChart>
      <c:catAx>
        <c:axId val="95524352"/>
        <c:scaling>
          <c:orientation val="minMax"/>
        </c:scaling>
        <c:delete val="0"/>
        <c:axPos val="b"/>
        <c:majorTickMark val="out"/>
        <c:minorTickMark val="none"/>
        <c:tickLblPos val="nextTo"/>
        <c:crossAx val="95525888"/>
        <c:crosses val="autoZero"/>
        <c:auto val="1"/>
        <c:lblAlgn val="ctr"/>
        <c:lblOffset val="100"/>
        <c:noMultiLvlLbl val="0"/>
      </c:catAx>
      <c:valAx>
        <c:axId val="95525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5243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4.4606742043025595E-2"/>
          <c:y val="0.81412823397075362"/>
          <c:w val="0.90226912836780848"/>
          <c:h val="0.1856254408876856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9E43F07C65BE48821DBB88C00C8210" ma:contentTypeVersion="" ma:contentTypeDescription="Vytvoří nový dokument" ma:contentTypeScope="" ma:versionID="4cf33c1ecf9ed9fd2f80fecb7213f6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de9948cdc4cc6a099fae038cdc12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74BE1-2FD4-46B4-8DEC-43DBCF9C6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D150F2-F04C-4F2E-959C-F8D5E72D3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009A64-A2ED-479F-A7C7-E9F8CA73A40E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4BAA53F-C969-42FE-9C5E-97B88489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3885</Words>
  <Characters>22924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26756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Hendrychová</dc:creator>
  <cp:lastModifiedBy>Černostová Dana Mgr. (MPSV)</cp:lastModifiedBy>
  <cp:revision>2</cp:revision>
  <dcterms:created xsi:type="dcterms:W3CDTF">2016-04-06T11:51:00Z</dcterms:created>
  <dcterms:modified xsi:type="dcterms:W3CDTF">2016-04-06T11:51:00Z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0x0101007C9E43F07C65BE48821DBB88C00C8210</vt:lpwstr>
  </property>
</Properties>
</file>