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98" w:rsidRDefault="00B53A98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</w:p>
    <w:p w:rsidR="00B53A98" w:rsidRDefault="00B53A98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</w:p>
    <w:p w:rsidR="00B53A98" w:rsidRDefault="00B53A98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  <w:r>
        <w:rPr>
          <w:noProof/>
          <w:lang w:eastAsia="cs-CZ"/>
        </w:rPr>
        <w:drawing>
          <wp:inline distT="0" distB="0" distL="0" distR="0" wp14:anchorId="5B29D4A4" wp14:editId="6ECF869F">
            <wp:extent cx="2573080" cy="2817628"/>
            <wp:effectExtent l="0" t="0" r="0" b="1905"/>
            <wp:docPr id="5" name="Obrázek 5" descr="C:\Users\dana.cernostova.ADMPSVCZ\Desktop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de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0" cy="28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98" w:rsidRDefault="00B53A98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</w:p>
    <w:p w:rsidR="00B53A98" w:rsidRDefault="00B53A98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</w:p>
    <w:p w:rsidR="00B53A98" w:rsidRDefault="00B53A98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Style w:val="Siln"/>
          <w:rFonts w:ascii="Arial" w:hAnsi="Arial" w:cs="Arial"/>
          <w:color w:val="666666"/>
          <w:sz w:val="23"/>
          <w:szCs w:val="23"/>
        </w:rPr>
      </w:pPr>
      <w:r>
        <w:rPr>
          <w:rStyle w:val="Siln"/>
          <w:rFonts w:ascii="Arial" w:hAnsi="Arial" w:cs="Arial"/>
          <w:color w:val="666666"/>
          <w:sz w:val="23"/>
          <w:szCs w:val="23"/>
        </w:rPr>
        <w:t>31. 10. 2013 se uskutečnilo setkání na téma Děti v DOZP - vyhodnocování potřeb.</w:t>
      </w: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</w:t>
      </w: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etkání bylo opět pořádáno ve spolupráci s organizací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a bylo určeno pro poskytovatele, kteří poskytují služby dětem. Setkání bylo zahájeno prezentací zástupců z odboru rodiny MPSV, kteří účastníkům představili kazuistiku - příklady dobré a špatné praxe, kde byly představeny jednotlivé příběhy dětí, dále byly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odprezentovány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změny v občanském zákoníku a související právní předpisy. 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Poté se slova ujala zástupkyně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Lumosu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, která poskytovatelům představila Nástroje pro komunikaci s dětmi s postižením. Její kolegyně z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Lumosu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navázala přednáškou na téma Příprava dětí na přemístění z DOZP do rodiny či do jiné služby, kde zdůraznila důležitost samotné přípravy dítěte a intenzivní komunikaci s ním. Dopolední program byl zakončen představením dobré praxe se </w:t>
      </w:r>
      <w:proofErr w:type="gram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zařízení</w:t>
      </w:r>
      <w:proofErr w:type="gram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ve Slatiňanech. 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Po obědě následoval krátký program, kde zástupkyně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Lumosu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vedla přednášku na téma Zapojování dětí s postižením do rozhodování. Samotné setkání bylo 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zakončeno zkušenostmi s</w:t>
      </w:r>
      <w:r w:rsidR="00B53A98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transformací</w:t>
      </w:r>
      <w:r w:rsidR="00B53A98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c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o </w:t>
      </w: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jde dělat již nyní, kde zejména účastníci setkání mluvili o tom, co se v této problematice daří a naopak byly zmíněny i negativní zkušenosti, se kterými se setkávají. 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B53A98" w:rsidRDefault="00B53A98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B53A98" w:rsidRDefault="00B53A98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B53A98" w:rsidRDefault="00B53A98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8D6261" w:rsidRDefault="008D6261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8D6261" w:rsidRDefault="008D6261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8D6261" w:rsidRDefault="008D6261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bookmarkStart w:id="0" w:name="_GoBack"/>
      <w:bookmarkEnd w:id="0"/>
    </w:p>
    <w:p w:rsidR="00B53A98" w:rsidRPr="00001409" w:rsidRDefault="00B53A98" w:rsidP="00001409">
      <w:pPr>
        <w:shd w:val="clear" w:color="auto" w:fill="FFFFFF"/>
        <w:spacing w:after="0" w:line="0" w:lineRule="atLeast"/>
        <w:ind w:left="3825"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lastRenderedPageBreak/>
        <w:t>V úterý 23. 7. 2013</w:t>
      </w: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r w:rsidRPr="00001409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se uskutečnilo setkání s poskytovateli, kteří poskytují sociální služby dětem.</w:t>
      </w: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Akce byla pořádána v rámci projektu Transformace sociálních služeb ve spolupráci s organizací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. 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V dopoledním programu účastníci představovali svá zařízení z pohledů poskytování své služby dětem. 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Dále byly představeny výstupy s předchozího projektu Podpora transformace sociálních služeb, které naleznete níže.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V dopoledním programu také svoji prezentaci představil Odbor rodiny z MPSV na téma </w:t>
      </w:r>
      <w:r w:rsidRPr="00001409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Změny v systému péče o ohrožené děti. 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Po obědě </w:t>
      </w:r>
      <w:proofErr w:type="spellStart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Lumos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prezentoval svůj příspěvek: </w:t>
      </w:r>
      <w:r w:rsidRPr="00001409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Nápady, jak měnit situaci dětí</w:t>
      </w: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, kdy bylo poukázáno na důležitost vyhodnocování potřeb dítěte, vzdělávání pracovníků a individuální př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ístup, dále ve svém příspěvku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Lu</w:t>
      </w: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mos</w:t>
      </w:r>
      <w:proofErr w:type="spellEnd"/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zmínil sociální služby pro děti, které zde chybí (zařízení specializovaná na děti se zdravotním postižením, a to zařízení s velmi malou kapacitou, apod..)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Dobrou praxi nám představilo Centrum Kociánka, které popsalo jednotlivé příběhy dětí z jejich zařízení. </w:t>
      </w: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</w:p>
    <w:p w:rsidR="00001409" w:rsidRPr="00001409" w:rsidRDefault="00001409" w:rsidP="00001409">
      <w:pPr>
        <w:shd w:val="clear" w:color="auto" w:fill="FFFFFF"/>
        <w:spacing w:after="0" w:line="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Samotné setkání bylo zakončeno diskuzí mezi poskytovateli.</w:t>
      </w:r>
    </w:p>
    <w:p w:rsidR="00001409" w:rsidRPr="00001409" w:rsidRDefault="00001409" w:rsidP="00001409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cs-CZ"/>
        </w:rPr>
        <w:drawing>
          <wp:inline distT="0" distB="0" distL="0" distR="0" wp14:anchorId="7C5ADD42" wp14:editId="44E732F3">
            <wp:extent cx="5773420" cy="2062480"/>
            <wp:effectExtent l="0" t="0" r="0" b="0"/>
            <wp:docPr id="3" name="Obrázek 3" descr="setkani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kani2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09" w:rsidRPr="00001409" w:rsidRDefault="00001409" w:rsidP="00001409">
      <w:pPr>
        <w:shd w:val="clear" w:color="auto" w:fill="FFFFFF"/>
        <w:spacing w:before="450" w:after="450" w:line="300" w:lineRule="atLeast"/>
        <w:ind w:left="3825"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p w:rsidR="00001409" w:rsidRPr="00001409" w:rsidRDefault="00001409" w:rsidP="00001409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Soubory ke stažení: </w:t>
      </w:r>
      <w:hyperlink r:id="rId9" w:history="1">
        <w:r w:rsidRPr="00001409">
          <w:rPr>
            <w:rFonts w:ascii="Arial" w:eastAsia="Times New Roman" w:hAnsi="Arial" w:cs="Arial"/>
            <w:color w:val="DF562C"/>
            <w:sz w:val="23"/>
            <w:szCs w:val="23"/>
            <w:u w:val="single"/>
            <w:lang w:eastAsia="cs-CZ"/>
          </w:rPr>
          <w:t>Celkem 7 prezentací (ZIP)</w:t>
        </w:r>
      </w:hyperlink>
    </w:p>
    <w:p w:rsidR="00752E1F" w:rsidRPr="00001409" w:rsidRDefault="00001409" w:rsidP="00001409">
      <w:pPr>
        <w:shd w:val="clear" w:color="auto" w:fill="FFFFFF"/>
        <w:spacing w:before="450" w:after="450" w:line="300" w:lineRule="atLeast"/>
        <w:ind w:left="3825"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001409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 </w:t>
      </w:r>
    </w:p>
    <w:sectPr w:rsidR="00752E1F" w:rsidRPr="0000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7" w:rsidRDefault="00554C77" w:rsidP="00001409">
      <w:pPr>
        <w:spacing w:after="0" w:line="240" w:lineRule="auto"/>
      </w:pPr>
      <w:r>
        <w:separator/>
      </w:r>
    </w:p>
  </w:endnote>
  <w:endnote w:type="continuationSeparator" w:id="0">
    <w:p w:rsidR="00554C77" w:rsidRDefault="00554C77" w:rsidP="0000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7" w:rsidRDefault="00554C77" w:rsidP="00001409">
      <w:pPr>
        <w:spacing w:after="0" w:line="240" w:lineRule="auto"/>
      </w:pPr>
      <w:r>
        <w:separator/>
      </w:r>
    </w:p>
  </w:footnote>
  <w:footnote w:type="continuationSeparator" w:id="0">
    <w:p w:rsidR="00554C77" w:rsidRDefault="00554C77" w:rsidP="00001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9"/>
    <w:rsid w:val="00001409"/>
    <w:rsid w:val="000D45FA"/>
    <w:rsid w:val="00554C77"/>
    <w:rsid w:val="00752E1F"/>
    <w:rsid w:val="008D6261"/>
    <w:rsid w:val="00B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14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409"/>
  </w:style>
  <w:style w:type="paragraph" w:styleId="Zpat">
    <w:name w:val="footer"/>
    <w:basedOn w:val="Normln"/>
    <w:link w:val="ZpatChar"/>
    <w:uiPriority w:val="99"/>
    <w:unhideWhenUsed/>
    <w:rsid w:val="0000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14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4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409"/>
  </w:style>
  <w:style w:type="paragraph" w:styleId="Zpat">
    <w:name w:val="footer"/>
    <w:basedOn w:val="Normln"/>
    <w:link w:val="ZpatChar"/>
    <w:uiPriority w:val="99"/>
    <w:unhideWhenUsed/>
    <w:rsid w:val="0000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032">
      <w:bodyDiv w:val="1"/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4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992">
              <w:marLeft w:val="3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05745">
      <w:bodyDiv w:val="1"/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340">
              <w:marLeft w:val="3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ss.cz/archive_2015/files/4-akce-setkani2.zi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3</cp:revision>
  <dcterms:created xsi:type="dcterms:W3CDTF">2016-03-16T06:55:00Z</dcterms:created>
  <dcterms:modified xsi:type="dcterms:W3CDTF">2016-03-16T07:32:00Z</dcterms:modified>
</cp:coreProperties>
</file>